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5000" w:type="pct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ook w:val="04A0" w:firstRow="1" w:lastRow="0" w:firstColumn="1" w:lastColumn="0" w:noHBand="0" w:noVBand="1"/>
      </w:tblPr>
      <w:tblGrid>
        <w:gridCol w:w="10716"/>
      </w:tblGrid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3031" w:hRule="exact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60" w:type="dxa"/>
              <w:right w:w="80" w:type="dxa"/>
              <w:bottom w:w="60" w:type="dxa"/>
            </w:tcMar>
            <w:tcW w:w="10716" w:type="dxa"/>
            <w:textDirection w:val="lrTb"/>
            <w:noWrap w:val="false"/>
          </w:tcPr>
          <w:p>
            <w:pPr>
              <w:pStyle w:val="832"/>
            </w:pPr>
            <w:r>
              <w:rPr>
                <w:position w:val="-61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3810000" cy="904875"/>
                      <wp:effectExtent l="0" t="0" r="0" b="0"/>
                      <wp:docPr id="1" name="Консультант Плюс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/>
                              <pic:nvPr/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3810000" cy="904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300.00pt;height:71.25pt;mso-wrap-distance-left:0.00pt;mso-wrap-distance-top:0.00pt;mso-wrap-distance-right:0.00pt;mso-wrap-distance-bottom:0.00pt;" stroked="f">
                      <v:path textboxrect="0,0,0,0"/>
                      <v:imagedata r:id="rId12" o:title=""/>
                    </v:shape>
                  </w:pict>
                </mc:Fallback>
              </mc:AlternateContent>
            </w:r>
            <w:r/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8335" w:hRule="exact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60" w:type="dxa"/>
              <w:right w:w="80" w:type="dxa"/>
              <w:bottom w:w="60" w:type="dxa"/>
            </w:tcMar>
            <w:tcW w:w="10716" w:type="dxa"/>
            <w:vAlign w:val="center"/>
            <w:textDirection w:val="lrTb"/>
            <w:noWrap w:val="false"/>
          </w:tcPr>
          <w:p>
            <w:pPr>
              <w:pStyle w:val="832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Приказ Минстроя России от 21.08.2023 N 604/пр</w:t>
              <w:br/>
              <w:t xml:space="preserve">(ред. от 23.01.2026)</w:t>
              <w:br/>
              <w:t xml:space="preserve">"Об утверждении пор</w:t>
            </w:r>
            <w:r>
              <w:rPr>
                <w:sz w:val="36"/>
                <w:szCs w:val="36"/>
              </w:rPr>
              <w:t xml:space="preserve">ядка определения начальной (максимальной) цены контракта, предметом которого может быть одновременно подготовка проектной документации и (или) выполнение инженерных изысканий, выполнение работ по строительству, реконструкции и (или) капитальному ремонту об</w:t>
            </w:r>
            <w:r>
              <w:rPr>
                <w:sz w:val="36"/>
                <w:szCs w:val="36"/>
              </w:rPr>
              <w:t xml:space="preserve">ъекта капитального строительства, цены такого контракта, заключаемого с единственным поставщиком (подрядчиком, исполнителем), методики составления сметы такого контракта и порядка изменения цены такого контракта в случаях, предусмотренных подпунктом "а" пу</w:t>
            </w:r>
            <w:r>
              <w:rPr>
                <w:sz w:val="36"/>
                <w:szCs w:val="36"/>
              </w:rPr>
              <w:t xml:space="preserve">нкта 1 и пунктом 2 части 62 статьи 112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</w:t>
              <w:br/>
              <w:t xml:space="preserve">(Зарегистрировано в Минюсте России 25.09.2023 N 75334)</w:t>
            </w:r>
            <w:r>
              <w:rPr>
                <w:sz w:val="36"/>
                <w:szCs w:val="36"/>
              </w:rPr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3031" w:hRule="exact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60" w:type="dxa"/>
              <w:right w:w="80" w:type="dxa"/>
              <w:bottom w:w="60" w:type="dxa"/>
            </w:tcMar>
            <w:tcW w:w="10716" w:type="dxa"/>
            <w:vAlign w:val="center"/>
            <w:textDirection w:val="lrTb"/>
            <w:noWrap w:val="false"/>
          </w:tcPr>
          <w:p>
            <w:pPr>
              <w:pStyle w:val="832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13" w:tooltip="Ссылка на КонсультантПлюс" w:history="1">
              <w:r>
                <w:rPr>
                  <w:b/>
                  <w:color w:val="0000ff"/>
                  <w:sz w:val="28"/>
                </w:rPr>
                <w:t xml:space="preserve">КонсультантПлюс</w:t>
                <w:br/>
                <w:br/>
              </w:r>
            </w:hyperlink>
            <w:r/>
            <w:hyperlink r:id="rId14" w:tooltip="Ссылка на КонсультантПлюс" w:history="1">
              <w:r>
                <w:rPr>
                  <w:b/>
                  <w:color w:val="0000ff"/>
                  <w:sz w:val="28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26.06.2026</w:t>
            </w:r>
            <w:r>
              <w:rPr>
                <w:sz w:val="28"/>
              </w:rPr>
              <w:br/>
              <w:t xml:space="preserve"> </w:t>
            </w:r>
            <w:r/>
          </w:p>
        </w:tc>
      </w:tr>
    </w:tbl>
    <w:p>
      <w:pPr>
        <w:sectPr>
          <w:footnotePr/>
          <w:endnotePr/>
          <w:type w:val="nextPage"/>
          <w:pgSz w:w="11906" w:h="16838" w:orient="portrait"/>
          <w:pgMar w:top="841" w:right="595" w:bottom="841" w:left="595" w:header="0" w:footer="0" w:gutter="0"/>
          <w:cols w:num="1" w:sep="0" w:space="1701" w:equalWidth="1"/>
          <w:docGrid w:linePitch="360"/>
          <w:titlePg/>
        </w:sectPr>
      </w:pPr>
      <w:r/>
      <w:r/>
    </w:p>
    <w:p>
      <w:pPr>
        <w:pStyle w:val="827"/>
        <w:jc w:val="both"/>
        <w:outlineLvl w:val="0"/>
      </w:pPr>
      <w:r>
        <w:rPr>
          <w:sz w:val="24"/>
        </w:rPr>
      </w:r>
      <w:r/>
    </w:p>
    <w:p>
      <w:pPr>
        <w:pStyle w:val="827"/>
        <w:outlineLvl w:val="0"/>
      </w:pPr>
      <w:r>
        <w:rPr>
          <w:sz w:val="24"/>
        </w:rPr>
        <w:t xml:space="preserve">Зарегистрировано в Минюсте России 25 сентября 2023 г. N 75334</w:t>
      </w:r>
      <w:r/>
    </w:p>
    <w:p>
      <w:pPr>
        <w:pStyle w:val="827"/>
        <w:jc w:val="both"/>
        <w:spacing w:before="100" w:after="100"/>
        <w:rPr>
          <w:sz w:val="2"/>
          <w:szCs w:val="2"/>
        </w:rPr>
        <w:pBdr>
          <w:bottom w:val="single" w:color="000000" w:sz="6" w:space="0"/>
        </w:pBd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827"/>
        <w:jc w:val="center"/>
      </w:pPr>
      <w:r>
        <w:rPr>
          <w:sz w:val="24"/>
        </w:rPr>
      </w:r>
      <w:r/>
    </w:p>
    <w:p>
      <w:pPr>
        <w:pStyle w:val="829"/>
        <w:jc w:val="center"/>
      </w:pPr>
      <w:r>
        <w:rPr>
          <w:sz w:val="24"/>
        </w:rPr>
        <w:t xml:space="preserve">МИНИСТЕРСТВО СТРОИТЕЛЬСТВА И ЖИЛИЩНО-КОММУНАЛЬНОГО</w:t>
      </w:r>
      <w:r/>
    </w:p>
    <w:p>
      <w:pPr>
        <w:pStyle w:val="829"/>
        <w:jc w:val="center"/>
      </w:pPr>
      <w:r>
        <w:rPr>
          <w:sz w:val="24"/>
        </w:rPr>
        <w:t xml:space="preserve">ХОЗЯЙСТВА РОССИЙСКОЙ ФЕДЕРАЦИИ</w:t>
      </w:r>
      <w:r/>
    </w:p>
    <w:p>
      <w:pPr>
        <w:pStyle w:val="829"/>
        <w:jc w:val="center"/>
      </w:pPr>
      <w:r>
        <w:rPr>
          <w:sz w:val="24"/>
        </w:rPr>
      </w:r>
      <w:r/>
    </w:p>
    <w:p>
      <w:pPr>
        <w:pStyle w:val="829"/>
        <w:jc w:val="center"/>
      </w:pPr>
      <w:r>
        <w:rPr>
          <w:sz w:val="24"/>
        </w:rPr>
        <w:t xml:space="preserve">ПРИКАЗ</w:t>
      </w:r>
      <w:r/>
    </w:p>
    <w:p>
      <w:pPr>
        <w:pStyle w:val="829"/>
        <w:jc w:val="center"/>
      </w:pPr>
      <w:r>
        <w:rPr>
          <w:sz w:val="24"/>
        </w:rPr>
        <w:t xml:space="preserve">от 21 августа 2023 г. N 604/пр</w:t>
      </w:r>
      <w:r/>
    </w:p>
    <w:p>
      <w:pPr>
        <w:pStyle w:val="829"/>
        <w:jc w:val="center"/>
      </w:pPr>
      <w:r>
        <w:rPr>
          <w:sz w:val="24"/>
        </w:rPr>
      </w:r>
      <w:r/>
    </w:p>
    <w:p>
      <w:pPr>
        <w:pStyle w:val="829"/>
        <w:jc w:val="center"/>
      </w:pPr>
      <w:r>
        <w:rPr>
          <w:sz w:val="24"/>
        </w:rPr>
        <w:t xml:space="preserve">ОБ УТВЕРЖДЕНИИ ПОРЯДКА</w:t>
      </w:r>
      <w:r/>
    </w:p>
    <w:p>
      <w:pPr>
        <w:pStyle w:val="829"/>
        <w:jc w:val="center"/>
      </w:pPr>
      <w:r>
        <w:rPr>
          <w:sz w:val="24"/>
        </w:rPr>
        <w:t xml:space="preserve">ОПРЕДЕЛЕНИЯ НАЧАЛЬНОЙ (МАКСИМАЛЬНОЙ) ЦЕНЫ КОНТРАКТА,</w:t>
      </w:r>
      <w:r/>
    </w:p>
    <w:p>
      <w:pPr>
        <w:pStyle w:val="829"/>
        <w:jc w:val="center"/>
      </w:pPr>
      <w:r>
        <w:rPr>
          <w:sz w:val="24"/>
        </w:rPr>
        <w:t xml:space="preserve">ПРЕДМЕТОМ КОТОРОГО МОЖЕТ БЫТЬ ОДНОВРЕМЕННО ПОДГОТОВКА</w:t>
      </w:r>
      <w:r/>
    </w:p>
    <w:p>
      <w:pPr>
        <w:pStyle w:val="829"/>
        <w:jc w:val="center"/>
      </w:pPr>
      <w:r>
        <w:rPr>
          <w:sz w:val="24"/>
        </w:rPr>
        <w:t xml:space="preserve">ПРОЕКТНОЙ ДОКУМЕНТАЦИИ И (ИЛИ) ВЫПОЛНЕНИЕ ИНЖЕНЕРНЫХ</w:t>
      </w:r>
      <w:r/>
    </w:p>
    <w:p>
      <w:pPr>
        <w:pStyle w:val="829"/>
        <w:jc w:val="center"/>
      </w:pPr>
      <w:r>
        <w:rPr>
          <w:sz w:val="24"/>
        </w:rPr>
        <w:t xml:space="preserve">ИЗЫСКАНИЙ, ВЫПОЛНЕНИЕ РАБОТ ПО СТРОИТЕЛЬСТВУ, РЕКОНСТРУКЦИИ</w:t>
      </w:r>
      <w:r/>
    </w:p>
    <w:p>
      <w:pPr>
        <w:pStyle w:val="829"/>
        <w:jc w:val="center"/>
      </w:pPr>
      <w:r>
        <w:rPr>
          <w:sz w:val="24"/>
        </w:rPr>
        <w:t xml:space="preserve">И (ИЛИ) КАПИТАЛЬНОМУ РЕМОНТУ ОБЪЕКТА КАПИТАЛЬНОГО</w:t>
      </w:r>
      <w:r/>
    </w:p>
    <w:p>
      <w:pPr>
        <w:pStyle w:val="829"/>
        <w:jc w:val="center"/>
      </w:pPr>
      <w:r>
        <w:rPr>
          <w:sz w:val="24"/>
        </w:rPr>
        <w:t xml:space="preserve">СТРОИТЕЛЬСТВА, ЦЕНЫ ТАКОГО КОНТРАКТА, ЗАКЛЮЧАЕМОГО</w:t>
      </w:r>
      <w:r/>
    </w:p>
    <w:p>
      <w:pPr>
        <w:pStyle w:val="829"/>
        <w:jc w:val="center"/>
      </w:pPr>
      <w:r>
        <w:rPr>
          <w:sz w:val="24"/>
        </w:rPr>
        <w:t xml:space="preserve">С ЕДИНСТВЕННЫМ ПОСТАВЩИКОМ (ПОДРЯДЧИКОМ, ИСПОЛНИТЕЛЕМ),</w:t>
      </w:r>
      <w:r/>
    </w:p>
    <w:p>
      <w:pPr>
        <w:pStyle w:val="829"/>
        <w:jc w:val="center"/>
      </w:pPr>
      <w:r>
        <w:rPr>
          <w:sz w:val="24"/>
        </w:rPr>
        <w:t xml:space="preserve">МЕТОДИКИ СОСТАВЛЕНИЯ СМЕТЫ ТАКОГО КОНТРАКТА И ПОРЯДКА</w:t>
      </w:r>
      <w:r/>
    </w:p>
    <w:p>
      <w:pPr>
        <w:pStyle w:val="829"/>
        <w:jc w:val="center"/>
      </w:pPr>
      <w:r>
        <w:rPr>
          <w:sz w:val="24"/>
        </w:rPr>
        <w:t xml:space="preserve">ИЗМЕНЕНИЯ ЦЕНЫ ТАКОГО КОНТРАКТА В СЛУЧАЯХ, ПРЕДУСМОТРЕННЫХ</w:t>
      </w:r>
      <w:r/>
    </w:p>
    <w:p>
      <w:pPr>
        <w:pStyle w:val="829"/>
        <w:jc w:val="center"/>
      </w:pPr>
      <w:r>
        <w:rPr>
          <w:sz w:val="24"/>
        </w:rPr>
        <w:t xml:space="preserve">ПОДПУНКТОМ "А" ПУНКТА 1 И ПУНКТОМ 2 ЧАСТИ 62 СТАТЬИ 112</w:t>
      </w:r>
      <w:r/>
    </w:p>
    <w:p>
      <w:pPr>
        <w:pStyle w:val="829"/>
        <w:jc w:val="center"/>
      </w:pPr>
      <w:r>
        <w:rPr>
          <w:sz w:val="24"/>
        </w:rPr>
        <w:t xml:space="preserve">ФЕДЕРАЛЬНОГО ЗАКОНА ОТ 5 АПРЕЛЯ 2013 Г. N 44-ФЗ</w:t>
      </w:r>
      <w:r/>
    </w:p>
    <w:p>
      <w:pPr>
        <w:pStyle w:val="829"/>
        <w:jc w:val="center"/>
      </w:pPr>
      <w:r>
        <w:rPr>
          <w:sz w:val="24"/>
        </w:rPr>
        <w:t xml:space="preserve">"О КОНТРАКТНОЙ СИСТЕМЕ В СФЕРЕ ЗАКУПОК ТОВАРОВ,</w:t>
      </w:r>
      <w:r/>
    </w:p>
    <w:p>
      <w:pPr>
        <w:pStyle w:val="829"/>
        <w:jc w:val="center"/>
      </w:pPr>
      <w:r>
        <w:rPr>
          <w:sz w:val="24"/>
        </w:rPr>
        <w:t xml:space="preserve">РАБОТ, УСЛУГ ДЛЯ ОБЕСПЕЧЕНИЯ ГОСУДАРСТВЕННЫХ</w:t>
      </w:r>
      <w:r/>
    </w:p>
    <w:p>
      <w:pPr>
        <w:pStyle w:val="829"/>
        <w:jc w:val="center"/>
      </w:pPr>
      <w:r>
        <w:rPr>
          <w:sz w:val="24"/>
        </w:rPr>
        <w:t xml:space="preserve">И МУНИЦИПАЛЬНЫХ НУЖД"</w:t>
      </w:r>
      <w:r/>
    </w:p>
    <w:p>
      <w:pPr>
        <w:spacing w:after="1"/>
      </w:pPr>
      <w:r/>
      <w:r/>
    </w:p>
    <w:tbl>
      <w:tblPr>
        <w:tblW w:w="5000" w:type="pct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>
        <w:tblPrEx/>
        <w:trPr/>
        <w:tc>
          <w:tcPr>
            <w:shd w:val="clear" w:color="auto" w:fill="ced3f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0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113" w:type="dxa"/>
              <w:right w:w="0" w:type="dxa"/>
              <w:bottom w:w="113" w:type="dxa"/>
            </w:tcMar>
            <w:tcW w:w="0" w:type="auto"/>
            <w:textDirection w:val="lrTb"/>
            <w:noWrap w:val="false"/>
          </w:tcPr>
          <w:p>
            <w:pPr>
              <w:pStyle w:val="827"/>
              <w:jc w:val="center"/>
            </w:pPr>
            <w:r>
              <w:rPr>
                <w:color w:val="392c69"/>
                <w:sz w:val="24"/>
              </w:rPr>
              <w:t xml:space="preserve">Список изменяющих документов</w:t>
            </w:r>
            <w:r/>
          </w:p>
          <w:p>
            <w:pPr>
              <w:pStyle w:val="827"/>
              <w:jc w:val="center"/>
            </w:pPr>
            <w:r>
              <w:rPr>
                <w:color w:val="392c69"/>
                <w:sz w:val="24"/>
              </w:rPr>
              <w:t xml:space="preserve">(в ред. Приказов Минстроя России от 12.12.2024 </w:t>
            </w:r>
            <w:r>
              <w:rPr>
                <w:color w:val="392c69"/>
                <w:sz w:val="24"/>
              </w:rPr>
              <w:t xml:space="preserve">N 856/пр</w:t>
            </w:r>
            <w:r>
              <w:rPr>
                <w:color w:val="392c69"/>
                <w:sz w:val="24"/>
              </w:rPr>
              <w:t xml:space="preserve">,</w:t>
            </w:r>
            <w:r/>
          </w:p>
          <w:p>
            <w:pPr>
              <w:pStyle w:val="827"/>
              <w:jc w:val="center"/>
            </w:pPr>
            <w:r>
              <w:rPr>
                <w:color w:val="392c69"/>
                <w:sz w:val="24"/>
              </w:rPr>
              <w:t xml:space="preserve">от 17.01.2025 </w:t>
            </w:r>
            <w:r>
              <w:rPr>
                <w:color w:val="392c69"/>
                <w:sz w:val="24"/>
              </w:rPr>
              <w:t xml:space="preserve">N 18/пр</w:t>
            </w:r>
            <w:r>
              <w:rPr>
                <w:color w:val="392c69"/>
                <w:sz w:val="24"/>
              </w:rPr>
              <w:t xml:space="preserve">, от 23.01.2026 </w:t>
            </w:r>
            <w:r>
              <w:rPr>
                <w:color w:val="392c69"/>
                <w:sz w:val="24"/>
              </w:rPr>
              <w:t xml:space="preserve">N 22/пр</w:t>
            </w:r>
            <w:r>
              <w:rPr>
                <w:color w:val="392c69"/>
                <w:sz w:val="24"/>
              </w:rPr>
              <w:t xml:space="preserve">)</w:t>
            </w:r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r/>
            <w:r/>
          </w:p>
        </w:tc>
      </w:tr>
    </w:tbl>
    <w:p>
      <w:pPr>
        <w:pStyle w:val="827"/>
        <w:ind w:firstLine="540"/>
        <w:jc w:val="both"/>
      </w:pPr>
      <w:r>
        <w:rPr>
          <w:sz w:val="24"/>
        </w:rPr>
      </w:r>
      <w:r/>
    </w:p>
    <w:p>
      <w:pPr>
        <w:pStyle w:val="827"/>
        <w:ind w:firstLine="540"/>
        <w:jc w:val="both"/>
      </w:pPr>
      <w:r>
        <w:rPr>
          <w:sz w:val="24"/>
        </w:rPr>
        <w:t xml:space="preserve">В соответствии с </w:t>
      </w:r>
      <w:r>
        <w:rPr>
          <w:sz w:val="24"/>
        </w:rPr>
        <w:t xml:space="preserve">частью 59 статьи 112</w:t>
      </w:r>
      <w:r>
        <w:rPr>
          <w:sz w:val="24"/>
        </w:rPr>
        <w:t xml:space="preserve">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нужд", </w:t>
      </w:r>
      <w:r>
        <w:rPr>
          <w:sz w:val="24"/>
        </w:rPr>
        <w:t xml:space="preserve">пунктом 1</w:t>
      </w:r>
      <w:r>
        <w:rPr>
          <w:sz w:val="24"/>
        </w:rPr>
        <w:t xml:space="preserve"> Положения о Министерстве строительства и жилищно-коммунального хозяйства Российской Федерации, утвержденного постановлением Правительства Российской Федерации от 18 ноября 2013 г. N 1038, приказываю: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1. Утвердить: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а) </w:t>
      </w:r>
      <w:hyperlink w:tooltip="ПОРЯДОК" w:anchor="P55" w:history="1">
        <w:r>
          <w:rPr>
            <w:color w:val="0000ff"/>
            <w:sz w:val="24"/>
          </w:rPr>
          <w:t xml:space="preserve">порядок</w:t>
        </w:r>
      </w:hyperlink>
      <w:r>
        <w:rPr>
          <w:sz w:val="24"/>
        </w:rPr>
        <w:t xml:space="preserve"> определения начальной (максимальной) цены контракта, предметом которого может быть одновременно подготовка проектной документации и (или) выполнение инженерных изыска</w:t>
      </w:r>
      <w:r>
        <w:rPr>
          <w:sz w:val="24"/>
        </w:rPr>
        <w:t xml:space="preserve">ний, выполнение работ по строительству, реконструкции и (или) капитальному ремонту объекта капитального строительства, цены такого контракта, заключаемого с единственным поставщиком (подрядчиком, исполнителем), согласно приложению N 1 к настоящему приказу;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б) </w:t>
      </w:r>
      <w:hyperlink w:tooltip="МЕТОДИКА" w:anchor="P223" w:history="1">
        <w:r>
          <w:rPr>
            <w:color w:val="0000ff"/>
            <w:sz w:val="24"/>
          </w:rPr>
          <w:t xml:space="preserve">методику</w:t>
        </w:r>
      </w:hyperlink>
      <w:r>
        <w:rPr>
          <w:sz w:val="24"/>
        </w:rPr>
        <w:t xml:space="preserve"> составления сметы контракта, предметом которого может быть одновременно подготовка проектной документации и (или) выполнение инженерных изыскан</w:t>
      </w:r>
      <w:r>
        <w:rPr>
          <w:sz w:val="24"/>
        </w:rPr>
        <w:t xml:space="preserve">ий, выполнение работ по строительству, реконструкции и (или) капитальному ремонту объекта капитального строительства, сметы такого контракта, заключаемого с единственным поставщиком (подрядчиком, исполнителем), согласно приложению N 2 к настоящему приказу;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в) </w:t>
      </w:r>
      <w:hyperlink w:tooltip="ПОРЯДОК" w:anchor="P250" w:history="1">
        <w:r>
          <w:rPr>
            <w:color w:val="0000ff"/>
            <w:sz w:val="24"/>
          </w:rPr>
          <w:t xml:space="preserve">порядок</w:t>
        </w:r>
      </w:hyperlink>
      <w:r>
        <w:rPr>
          <w:sz w:val="24"/>
        </w:rPr>
        <w:t xml:space="preserve"> изменения цены контракта, предметом которого может быть одновременно подготовка проектной документации и (или) выполнение инженерн</w:t>
      </w:r>
      <w:r>
        <w:rPr>
          <w:sz w:val="24"/>
        </w:rPr>
        <w:t xml:space="preserve">ых изысканий, выполнение работ по строительству, реконструкции и (или) капитальному ремонту объекта капитального строительства, цены такого контракта, заключаемого с единственным поставщиком (подрядчиком, исполнителем), в случаях, предусмотренных подпункто</w:t>
      </w:r>
      <w:r>
        <w:rPr>
          <w:sz w:val="24"/>
        </w:rPr>
        <w:t xml:space="preserve">м "а" пункта 1 и пунктом 2 части 62 статьи 112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нужд", согласно приложению N 3 к настоящему приказу.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2. Признать утратившими силу: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а) </w:t>
      </w:r>
      <w:r>
        <w:rPr>
          <w:sz w:val="24"/>
        </w:rPr>
        <w:t xml:space="preserve">приказ</w:t>
      </w:r>
      <w:r>
        <w:rPr>
          <w:sz w:val="24"/>
        </w:rPr>
        <w:t xml:space="preserve"> Минстроя России от 30 марта 2020 г. N 175/пр "Об ут</w:t>
      </w:r>
      <w:r>
        <w:rPr>
          <w:sz w:val="24"/>
        </w:rPr>
        <w:t xml:space="preserve">верждении порядка определения начальной (максимальной) цены контракта, предметом которого одновременно являются подготовка проектной документации и (или) выполнение инженерных изысканий, выполнение работ по строительству, реконструкции и (или) капитальному</w:t>
      </w:r>
      <w:r>
        <w:rPr>
          <w:sz w:val="24"/>
        </w:rPr>
        <w:t xml:space="preserve"> ремонту объекта капитального строительства, включенного в перечни объектов капитального строительства, утвержденных Правительством Российской Федерации, высшими исполнительными органами государственной власти субъектов Российской Федерации, местными админ</w:t>
      </w:r>
      <w:r>
        <w:rPr>
          <w:sz w:val="24"/>
        </w:rPr>
        <w:t xml:space="preserve">истрациями, цены такого контракта, заключаемого с единственным поставщиком (подрядчиком, исполнителем), методики составления сметы такого контракта, порядка изменения цены такого контракта в случаях, предусмотренных подпунктом "а" пункта 1 и пунктом 2 част</w:t>
      </w:r>
      <w:r>
        <w:rPr>
          <w:sz w:val="24"/>
        </w:rPr>
        <w:t xml:space="preserve">и 62 статьи 112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(зарегистрирован Минюстом России 20 апреля 2020 г., регистрационный N 58135);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б) </w:t>
      </w:r>
      <w:r>
        <w:rPr>
          <w:sz w:val="24"/>
        </w:rPr>
        <w:t xml:space="preserve">пункт 7</w:t>
      </w:r>
      <w:r>
        <w:rPr>
          <w:sz w:val="24"/>
        </w:rPr>
        <w:t xml:space="preserve"> приложения N 2 к приказу Минстроя России от 2 марта 2022 г. N 135/пр "Об утверждении критериев, на основании которых устана</w:t>
      </w:r>
      <w:r>
        <w:rPr>
          <w:sz w:val="24"/>
        </w:rPr>
        <w:t xml:space="preserve">вливается аналогичность проектируемого объекта капитального строительства и объекта капитального строительства, применительно к которому подготовлена проектная документация, в отношении которой принято решение о применении типовой проектной документации, и</w:t>
      </w:r>
      <w:r>
        <w:rPr>
          <w:sz w:val="24"/>
        </w:rPr>
        <w:t xml:space="preserve"> о внесении изменений в некоторые приказы Министерства строительства и жилищно-коммунального хозяйства Российской Федерации по вопросам применения типовой проектной документации" (зарегистрирован Минюстом России 15 апреля 2022 г., регистрационный N 68218).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3. Настоящий приказ действует до даты, установленной </w:t>
      </w:r>
      <w:r>
        <w:rPr>
          <w:sz w:val="24"/>
        </w:rPr>
        <w:t xml:space="preserve">частью 56 статьи 112</w:t>
      </w:r>
      <w:r>
        <w:rPr>
          <w:sz w:val="24"/>
        </w:rPr>
        <w:t xml:space="preserve">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нужд".</w:t>
      </w:r>
      <w:r/>
    </w:p>
    <w:p>
      <w:pPr>
        <w:pStyle w:val="827"/>
        <w:jc w:val="both"/>
      </w:pPr>
      <w:r>
        <w:rPr>
          <w:sz w:val="24"/>
        </w:rPr>
        <w:t xml:space="preserve">(п. 3 в ред. </w:t>
      </w:r>
      <w:r>
        <w:rPr>
          <w:sz w:val="24"/>
        </w:rPr>
        <w:t xml:space="preserve">Приказа</w:t>
      </w:r>
      <w:r>
        <w:rPr>
          <w:sz w:val="24"/>
        </w:rPr>
        <w:t xml:space="preserve"> Минстроя России от 12.12.2024 N 856/пр)</w:t>
      </w:r>
      <w:r/>
    </w:p>
    <w:p>
      <w:pPr>
        <w:pStyle w:val="827"/>
        <w:ind w:firstLine="540"/>
        <w:jc w:val="both"/>
      </w:pPr>
      <w:r>
        <w:rPr>
          <w:sz w:val="24"/>
        </w:rPr>
      </w:r>
      <w:r/>
    </w:p>
    <w:p>
      <w:pPr>
        <w:pStyle w:val="827"/>
        <w:jc w:val="right"/>
      </w:pPr>
      <w:r>
        <w:rPr>
          <w:sz w:val="24"/>
        </w:rPr>
        <w:t xml:space="preserve">Министр</w:t>
      </w:r>
      <w:r/>
    </w:p>
    <w:p>
      <w:pPr>
        <w:pStyle w:val="827"/>
        <w:jc w:val="right"/>
      </w:pPr>
      <w:r>
        <w:rPr>
          <w:sz w:val="24"/>
        </w:rPr>
        <w:t xml:space="preserve">И.Э.ФАЙЗУЛЛИН</w:t>
      </w:r>
      <w:r/>
    </w:p>
    <w:p>
      <w:pPr>
        <w:pStyle w:val="827"/>
        <w:jc w:val="right"/>
      </w:pPr>
      <w:r>
        <w:rPr>
          <w:sz w:val="24"/>
        </w:rPr>
      </w:r>
      <w:r/>
    </w:p>
    <w:p>
      <w:pPr>
        <w:pStyle w:val="827"/>
        <w:jc w:val="right"/>
      </w:pPr>
      <w:r>
        <w:rPr>
          <w:sz w:val="24"/>
        </w:rPr>
      </w:r>
      <w:r/>
    </w:p>
    <w:p>
      <w:pPr>
        <w:pStyle w:val="827"/>
        <w:jc w:val="right"/>
      </w:pPr>
      <w:r>
        <w:rPr>
          <w:sz w:val="24"/>
        </w:rPr>
      </w:r>
      <w:r/>
    </w:p>
    <w:p>
      <w:pPr>
        <w:pStyle w:val="827"/>
        <w:jc w:val="right"/>
      </w:pPr>
      <w:r>
        <w:rPr>
          <w:sz w:val="24"/>
        </w:rPr>
      </w:r>
      <w:r/>
    </w:p>
    <w:p>
      <w:pPr>
        <w:pStyle w:val="827"/>
        <w:jc w:val="right"/>
      </w:pPr>
      <w:r>
        <w:rPr>
          <w:sz w:val="24"/>
        </w:rPr>
      </w:r>
      <w:r/>
    </w:p>
    <w:p>
      <w:pPr>
        <w:pStyle w:val="827"/>
        <w:jc w:val="right"/>
        <w:outlineLvl w:val="0"/>
      </w:pPr>
      <w:r>
        <w:rPr>
          <w:sz w:val="24"/>
        </w:rPr>
        <w:t xml:space="preserve">Приложение N 1</w:t>
      </w:r>
      <w:r/>
    </w:p>
    <w:p>
      <w:pPr>
        <w:pStyle w:val="827"/>
        <w:jc w:val="right"/>
      </w:pPr>
      <w:r>
        <w:rPr>
          <w:sz w:val="24"/>
        </w:rPr>
      </w:r>
      <w:r/>
    </w:p>
    <w:p>
      <w:pPr>
        <w:pStyle w:val="827"/>
        <w:jc w:val="right"/>
      </w:pPr>
      <w:r>
        <w:rPr>
          <w:sz w:val="24"/>
        </w:rPr>
        <w:t xml:space="preserve">Утвержден</w:t>
      </w:r>
      <w:r/>
    </w:p>
    <w:p>
      <w:pPr>
        <w:pStyle w:val="827"/>
        <w:jc w:val="right"/>
      </w:pPr>
      <w:r>
        <w:rPr>
          <w:sz w:val="24"/>
        </w:rPr>
        <w:t xml:space="preserve">приказом Министерства строительства</w:t>
      </w:r>
      <w:r/>
    </w:p>
    <w:p>
      <w:pPr>
        <w:pStyle w:val="827"/>
        <w:jc w:val="right"/>
      </w:pPr>
      <w:r>
        <w:rPr>
          <w:sz w:val="24"/>
        </w:rPr>
        <w:t xml:space="preserve">и жилищно-коммунального хозяйства</w:t>
      </w:r>
      <w:r/>
    </w:p>
    <w:p>
      <w:pPr>
        <w:pStyle w:val="827"/>
        <w:jc w:val="right"/>
      </w:pPr>
      <w:r>
        <w:rPr>
          <w:sz w:val="24"/>
        </w:rPr>
        <w:t xml:space="preserve">Российской Федерации</w:t>
      </w:r>
      <w:r/>
    </w:p>
    <w:p>
      <w:pPr>
        <w:pStyle w:val="827"/>
        <w:jc w:val="right"/>
      </w:pPr>
      <w:r>
        <w:rPr>
          <w:sz w:val="24"/>
        </w:rPr>
        <w:t xml:space="preserve">от 21 августа 2023 г. N 604/пр</w:t>
      </w:r>
      <w:r/>
    </w:p>
    <w:p>
      <w:pPr>
        <w:pStyle w:val="827"/>
        <w:jc w:val="right"/>
      </w:pPr>
      <w:r>
        <w:rPr>
          <w:sz w:val="24"/>
        </w:rPr>
      </w:r>
      <w:r/>
    </w:p>
    <w:p>
      <w:pPr>
        <w:pStyle w:val="829"/>
        <w:jc w:val="center"/>
      </w:pPr>
      <w:r/>
      <w:bookmarkStart w:id="55" w:name="P55"/>
      <w:r/>
      <w:bookmarkEnd w:id="55"/>
      <w:r>
        <w:rPr>
          <w:sz w:val="24"/>
        </w:rPr>
        <w:t xml:space="preserve">ПОРЯДОК</w:t>
      </w:r>
      <w:r/>
    </w:p>
    <w:p>
      <w:pPr>
        <w:pStyle w:val="829"/>
        <w:jc w:val="center"/>
      </w:pPr>
      <w:r>
        <w:rPr>
          <w:sz w:val="24"/>
        </w:rPr>
        <w:t xml:space="preserve">ОПРЕДЕЛЕНИЯ НАЧАЛЬНОЙ (МАКСИМАЛЬНОЙ) ЦЕНЫ КОНТРАКТА,</w:t>
      </w:r>
      <w:r/>
    </w:p>
    <w:p>
      <w:pPr>
        <w:pStyle w:val="829"/>
        <w:jc w:val="center"/>
      </w:pPr>
      <w:r>
        <w:rPr>
          <w:sz w:val="24"/>
        </w:rPr>
        <w:t xml:space="preserve">ПРЕДМЕТОМ КОТОРОГО МОЖЕТ БЫТЬ ОДНОВРЕМЕННО ПОДГОТОВКА</w:t>
      </w:r>
      <w:r/>
    </w:p>
    <w:p>
      <w:pPr>
        <w:pStyle w:val="829"/>
        <w:jc w:val="center"/>
      </w:pPr>
      <w:r>
        <w:rPr>
          <w:sz w:val="24"/>
        </w:rPr>
        <w:t xml:space="preserve">ПРОЕКТНОЙ ДОКУМЕНТАЦИИ И (ИЛИ) ВЫПОЛНЕНИЕ ИНЖЕНЕРНЫХ</w:t>
      </w:r>
      <w:r/>
    </w:p>
    <w:p>
      <w:pPr>
        <w:pStyle w:val="829"/>
        <w:jc w:val="center"/>
      </w:pPr>
      <w:r>
        <w:rPr>
          <w:sz w:val="24"/>
        </w:rPr>
        <w:t xml:space="preserve">ИЗЫСКАНИЙ, ВЫПОЛНЕНИЕ РАБОТ ПО СТРОИТЕЛЬСТВУ, РЕКОНСТРУКЦИИ</w:t>
      </w:r>
      <w:r/>
    </w:p>
    <w:p>
      <w:pPr>
        <w:pStyle w:val="829"/>
        <w:jc w:val="center"/>
      </w:pPr>
      <w:r>
        <w:rPr>
          <w:sz w:val="24"/>
        </w:rPr>
        <w:t xml:space="preserve">И (ИЛИ) КАПИТАЛЬНОМУ РЕМОНТУ ОБЪЕКТА КАПИТАЛЬНОГО</w:t>
      </w:r>
      <w:r/>
    </w:p>
    <w:p>
      <w:pPr>
        <w:pStyle w:val="829"/>
        <w:jc w:val="center"/>
      </w:pPr>
      <w:r>
        <w:rPr>
          <w:sz w:val="24"/>
        </w:rPr>
        <w:t xml:space="preserve">СТРОИТЕЛЬСТВА, ЦЕНЫ ТАКОГО КОНТРАКТА, ЗАКЛЮЧАЕМОГО</w:t>
      </w:r>
      <w:r/>
    </w:p>
    <w:p>
      <w:pPr>
        <w:pStyle w:val="829"/>
        <w:jc w:val="center"/>
      </w:pPr>
      <w:r>
        <w:rPr>
          <w:sz w:val="24"/>
        </w:rPr>
        <w:t xml:space="preserve">С ЕДИНСТВЕННЫМ ПОСТАВЩИКОМ (ПОДРЯДЧИКОМ, ИСПОЛНИТЕЛЕМ)</w:t>
      </w:r>
      <w:r/>
    </w:p>
    <w:p>
      <w:pPr>
        <w:pStyle w:val="827"/>
        <w:ind w:firstLine="540"/>
        <w:jc w:val="both"/>
      </w:pPr>
      <w:r>
        <w:rPr>
          <w:sz w:val="24"/>
        </w:rPr>
      </w:r>
      <w:r/>
    </w:p>
    <w:p>
      <w:pPr>
        <w:pStyle w:val="827"/>
        <w:ind w:firstLine="540"/>
        <w:jc w:val="both"/>
      </w:pPr>
      <w:r>
        <w:rPr>
          <w:sz w:val="24"/>
        </w:rPr>
        <w:t xml:space="preserve">1. Настоящий Порядок устанавливает общие правила определения государственным или муниципальным заказчиком либо в соответствии с </w:t>
      </w:r>
      <w:r>
        <w:rPr>
          <w:sz w:val="24"/>
        </w:rPr>
        <w:t xml:space="preserve">частями 1</w:t>
      </w:r>
      <w:r>
        <w:rPr>
          <w:sz w:val="24"/>
        </w:rPr>
        <w:t xml:space="preserve"> и </w:t>
      </w:r>
      <w:r>
        <w:rPr>
          <w:sz w:val="24"/>
        </w:rPr>
        <w:t xml:space="preserve">2.1 статьи 15</w:t>
      </w:r>
      <w:r>
        <w:rPr>
          <w:sz w:val="24"/>
        </w:rPr>
        <w:t xml:space="preserve"> Феде</w:t>
      </w:r>
      <w:r>
        <w:rPr>
          <w:sz w:val="24"/>
        </w:rPr>
        <w:t xml:space="preserve">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(далее - Федеральный закон N 44-ФЗ) бюджетным учреждением, государственным, муниципальным унитарн</w:t>
      </w:r>
      <w:r>
        <w:rPr>
          <w:sz w:val="24"/>
        </w:rPr>
        <w:t xml:space="preserve">ым предприятием, осуществляющим закупки (далее - заказчик), начальной (максимальной) цены контракта, предметом которого может быть одновременно подготовка проектной документации и (или) выполнение инженерных изысканий, выполнение работ по строительству, ре</w:t>
      </w:r>
      <w:r>
        <w:rPr>
          <w:sz w:val="24"/>
        </w:rPr>
        <w:t xml:space="preserve">конструкции и (или) капитальному ремонту объекта капитального строительства (далее - затраты на выполнение подрядных работ), цены такого контракта, заключаемого с единственным поставщиком (подрядчиком, исполнителем) (далее соответственно - НМЦК, контракт).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2. Определение НМЦК осуществляется заказчиком в соответствии с </w:t>
      </w:r>
      <w:r>
        <w:rPr>
          <w:sz w:val="24"/>
        </w:rPr>
        <w:t xml:space="preserve">Порядком</w:t>
      </w:r>
      <w:r>
        <w:rPr>
          <w:sz w:val="24"/>
        </w:rPr>
        <w:t xml:space="preserve"> определения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 при осуществлении закупок в сфере градостроител</w:t>
      </w:r>
      <w:r>
        <w:rPr>
          <w:sz w:val="24"/>
        </w:rPr>
        <w:t xml:space="preserve">ьной деятельности (за исключением территориального планирования), утвержденным приказом Минстроя России от 23 декабря 2019 г. N 841/пр (зарегистрирован Минюстом России 3 февраля 2020 г., регистрационный N 57401), с изменениями, внесенными приказами Минстро</w:t>
      </w:r>
      <w:r>
        <w:rPr>
          <w:sz w:val="24"/>
        </w:rPr>
        <w:t xml:space="preserve">я России от 21 июля 2021 г. N 500/пр (зарегистрирован Минюстом России 13 августа 2021 г., регистрационный N 64642), от 7 октября 2021 г. N 728/пр (зарегистрирован Минюстом России 2 декабря 2021 г., регистрационный N 66180), от 25 февраля 2022 г. N 124/пр (</w:t>
      </w:r>
      <w:r>
        <w:rPr>
          <w:sz w:val="24"/>
        </w:rPr>
        <w:t xml:space="preserve">зарегистрирован Минюстом России 27 апреля 2022 г., регистрационный N 68345), от 14 июня 2022 г. N 484/пр (зарегистрирован Минюстом России 4 октября 2022 г., регистрационный N 70372) (далее - Порядок N 841/пр), а также с учетом положений настоящего Порядка.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Рекомендуемый образец расчета НМЦК приведен в </w:t>
      </w:r>
      <w:hyperlink w:tooltip="РАСЧЕТ" w:anchor="P137" w:history="1">
        <w:r>
          <w:rPr>
            <w:color w:val="0000ff"/>
            <w:sz w:val="24"/>
          </w:rPr>
          <w:t xml:space="preserve">приложении</w:t>
        </w:r>
      </w:hyperlink>
      <w:r>
        <w:rPr>
          <w:sz w:val="24"/>
        </w:rPr>
        <w:t xml:space="preserve"> к настоящему Порядку.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3. Определение НМЦК производится с учето</w:t>
      </w:r>
      <w:r>
        <w:rPr>
          <w:sz w:val="24"/>
        </w:rPr>
        <w:t xml:space="preserve">м налога на добавленную стоимость (далее - НДС) по ставкам, установленным для соответствующего вида товаров, работ и услуг, за исключением случаев, когда уплата НДС в соответствии с законодательством Российской Федерации о налогах и сборах не производится.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4. При определении НМЦК затраты на выполнение подрядных работ определяются на основании расчетов, выполненных с использованием укрупненных нормативов цены строительства (далее - НЦС), которые размещаются в соответствии с </w:t>
      </w:r>
      <w:r>
        <w:rPr>
          <w:sz w:val="24"/>
        </w:rPr>
        <w:t xml:space="preserve">частью 2 статьи 57.2</w:t>
      </w:r>
      <w:r>
        <w:rPr>
          <w:sz w:val="24"/>
        </w:rPr>
        <w:t xml:space="preserve"> Градостроительного кодекса Российской Федерации в федеральной государственной информационной системе ценообразования в строительстве (далее - ФГИС ЦС).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5. Стоимость оборудования при определении НМЦК рассчитывается в уровне цен периода исполнения контракта, определяемого в соответствии с </w:t>
      </w:r>
      <w:hyperlink w:tooltip="18. Определение НМЦК в уровне цен периода исполнения контракта на подготовку проектной документации и (или) выполнение инженерных изысканий, выполнение работ по строительству, реконструкции и (или) капитальному ремонту) (без учета затрат на оборудование), затраты на оборудование (в случае, если затраты на оборудование предусмотрены контрактом) осуществляется по формуле (1):" w:anchor="P91" w:history="1">
        <w:r>
          <w:rPr>
            <w:color w:val="0000ff"/>
            <w:sz w:val="24"/>
          </w:rPr>
          <w:t xml:space="preserve">пунктами 18</w:t>
        </w:r>
      </w:hyperlink>
      <w:r>
        <w:rPr>
          <w:sz w:val="24"/>
        </w:rPr>
        <w:t xml:space="preserve"> - </w:t>
      </w:r>
      <w:hyperlink w:tooltip="19. Индекс прогнозной инфляции на период исполнения контракта со сроком продолжительности более одного года (Кп) определяется по формуле (2), полученное значение округляется до 4 знаков после запятой:" w:anchor="P100" w:history="1">
        <w:r>
          <w:rPr>
            <w:color w:val="0000ff"/>
            <w:sz w:val="24"/>
          </w:rPr>
          <w:t xml:space="preserve">19</w:t>
        </w:r>
      </w:hyperlink>
      <w:r>
        <w:rPr>
          <w:sz w:val="24"/>
        </w:rPr>
        <w:t xml:space="preserve"> настоящего Порядка, по номенклатуре оборудования, учтенного в сметной документации, входящей в состав проектной документации, имеющей положительное заключение государственной экспертизы о достоверн</w:t>
      </w:r>
      <w:r>
        <w:rPr>
          <w:sz w:val="24"/>
        </w:rPr>
        <w:t xml:space="preserve">ости определения сметной стоимости объекта капитального строительства, аналогичного по назначению, проектной мощности, конструктивным решениям, природным и иным условиям территории, на которой планируется осуществлять строительство (далее - объект-аналог).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Стоимость оборудования определяется заказчиком методом сопоставимых рыночных цен (анализ рынка) на основании информации о рыночных ценах идентичного оборудования.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При невозможности определить данные о стоимости оборудования методом сопоставимых рыночных цен стоимость оборудования по решению заказчика определяется по объектам-аналогам.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6. Определение НМЦК с использованием показателей НЦС осуществляется при условии сопоставимости </w:t>
      </w:r>
      <w:r>
        <w:rPr>
          <w:sz w:val="24"/>
        </w:rPr>
        <w:t xml:space="preserve">назначения и проектной мощности, а также конструктивных решений, учтенных в показателе НЦС, назначения и проектной мощности объекта, планируемого к строительству, а также конструктивных решений, планируемых к использованию при строительстве такого объекта.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7. Для определения НМЦК с использованием показателей НЦС в уровне цен периода исполнения контракта применяются положения </w:t>
      </w:r>
      <w:r>
        <w:rPr>
          <w:sz w:val="24"/>
        </w:rPr>
        <w:t xml:space="preserve">пункта 97</w:t>
      </w:r>
      <w:r>
        <w:rPr>
          <w:sz w:val="24"/>
        </w:rPr>
        <w:t xml:space="preserve"> Методики разработки и применения укрупненных нормативов цены строительства, а также порядка их утверждения, утвержденной приказом Минстроя России от 2</w:t>
      </w:r>
      <w:r>
        <w:rPr>
          <w:sz w:val="24"/>
        </w:rPr>
        <w:t xml:space="preserve">9 мая 2019 г. N 314/пр (зарегистрирован Минюстом России 30 декабря 2019 г., регистрационный N 57064), с изменением, внесенным приказом Минстроя России от 2 марта 2022 г. N 135/пр (зарегистрирован Минюстом России 15 апреля 2022 г., регистрационный N 68218).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8. При определении НМЦК с использованием показателей НЦС затраты, необходимые для выполнения подрядны</w:t>
      </w:r>
      <w:r>
        <w:rPr>
          <w:sz w:val="24"/>
        </w:rPr>
        <w:t xml:space="preserve">х работ, но не учтенные показателями НЦС, определяются дополнительно на основании расчетов, выполненных с использованием сметных нормативов, сведения о которых включены в федеральный реестр сметных нормативов, формируемый Минстроем России в соответствии с </w:t>
      </w:r>
      <w:r>
        <w:rPr>
          <w:sz w:val="24"/>
        </w:rPr>
        <w:t xml:space="preserve">Порядком</w:t>
      </w:r>
      <w:r>
        <w:rPr>
          <w:sz w:val="24"/>
        </w:rPr>
        <w:t xml:space="preserve"> ф</w:t>
      </w:r>
      <w:r>
        <w:rPr>
          <w:sz w:val="24"/>
        </w:rPr>
        <w:t xml:space="preserve">ормирования и ведения федерального реестра сметных нормативов, утвержденным приказом Минстроя России от 24 октября 2017 г. N 1470/пр (зарегистрирован Минюстом России 14 мая 2018 г., регистрационный N 51079) (далее соответственно - ФРСН, Порядок N 1470/пр).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9. При опре</w:t>
      </w:r>
      <w:r>
        <w:rPr>
          <w:sz w:val="24"/>
        </w:rPr>
        <w:t xml:space="preserve">делении НМЦК с использованием показателей НЦС затраты заказчика на осуществление строительного контроля при строительстве объектов капитального строительства, финансируемых полностью или частично с привлечением средств федерального бюджета, не учитываются.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10. При отсутствии необходимых для расчета НМЦК показателей НЦС в ФГИС ЦС, а также в случае, если для соответствующего показателя НЦС не приведена информация о стоимости устр</w:t>
      </w:r>
      <w:r>
        <w:rPr>
          <w:sz w:val="24"/>
        </w:rPr>
        <w:t xml:space="preserve">ойства фундаментов, и (или) технологического оборудования, и (или) проектных и изыскательских работ, и (или) удельных показателях стоимости строительства здания (сооружения) на 1 куб. м и 1 кв. м, и (или) основных технических характеристиках конструктивных</w:t>
      </w:r>
      <w:r>
        <w:rPr>
          <w:sz w:val="24"/>
        </w:rPr>
        <w:t xml:space="preserve"> решений и видах работ, для определения затрат на выполнение подрядных работ используются стоимостные показатели, принятые по сметной документации, входящей в состав проектной документации объекта-аналога (далее - стоимостные показатели объектов-аналогов).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При определении НМЦК стоимость планируемого к строительству линейного объекта определяется как произведение его протяженности на стоимость единицы протяженности объекта-аналога.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11. В случае отсутствия стоимостных показателей объекта-аналога и соответствующих показателей</w:t>
      </w:r>
      <w:r>
        <w:rPr>
          <w:sz w:val="24"/>
        </w:rPr>
        <w:t xml:space="preserve"> НЦС в ФГИС ЦС определение НМЦК на выполнение подрядных работ осуществляется на основании стоимостных показателей отдельных видов затрат и (или) конструктивных решений иных объектов-аналогов (далее - стоимостные показатели конструктивных решений-аналогов).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12. В случае отсутствия в сметной документации объекта-аналога, входящей в состав проектной документации, используемой для определения стоимостных показателей конструктив</w:t>
      </w:r>
      <w:r>
        <w:rPr>
          <w:sz w:val="24"/>
        </w:rPr>
        <w:t xml:space="preserve">ных решений-аналогов, отдельных стоимостных показателей конструктивных решений-аналогов, необходимых для определения НМЦК, их стоимость определяется на основании расчетов, выполненных с использованием сметных нормативов, сведения о которых включены в ФРСН.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13. Определение НМЦК с использованием стоимостных показателей конструктивных решений-аналогов осуществляется при условии идентич</w:t>
      </w:r>
      <w:r>
        <w:rPr>
          <w:sz w:val="24"/>
        </w:rPr>
        <w:t xml:space="preserve">ности (сопоставимости) состава затрат, используемых строительных ресурсов, условий выполнения работ конструктивных решений-аналогов и соответствующих затрат, строительных ресурсов, условий выполнения работ на планируемом объекте капитального строительства.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14. Для определения НМЦК в уровне цен периода исполнения контракта пересчет стоимостных показателей объектов-аналогов или конструктивных решений-аналогов осуществляется с использованием формул (1) и (2), приведенных в </w:t>
      </w:r>
      <w:hyperlink w:tooltip="18. Определение НМЦК в уровне цен периода исполнения контракта на подготовку проектной документации и (или) выполнение инженерных изысканий, выполнение работ по строительству, реконструкции и (или) капитальному ремонту) (без учета затрат на оборудование), затраты на оборудование (в случае, если затраты на оборудование предусмотрены контрактом) осуществляется по формуле (1):" w:anchor="P91" w:history="1">
        <w:r>
          <w:rPr>
            <w:color w:val="0000ff"/>
            <w:sz w:val="24"/>
          </w:rPr>
          <w:t xml:space="preserve">пунктах 18</w:t>
        </w:r>
      </w:hyperlink>
      <w:r>
        <w:rPr>
          <w:sz w:val="24"/>
        </w:rPr>
        <w:t xml:space="preserve"> и </w:t>
      </w:r>
      <w:hyperlink w:tooltip="19. Индекс прогнозной инфляции на период исполнения контракта со сроком продолжительности более одного года (Кп) определяется по формуле (2), полученное значение округляется до 4 знаков после запятой:" w:anchor="P100" w:history="1">
        <w:r>
          <w:rPr>
            <w:color w:val="0000ff"/>
            <w:sz w:val="24"/>
          </w:rPr>
          <w:t xml:space="preserve">19</w:t>
        </w:r>
      </w:hyperlink>
      <w:r>
        <w:rPr>
          <w:sz w:val="24"/>
        </w:rPr>
        <w:t xml:space="preserve"> настоящего Порядка.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15. При определении НМЦК с использованием стоимостных показателей объектов-аналогов, а также с использованием стоимостных п</w:t>
      </w:r>
      <w:r>
        <w:rPr>
          <w:sz w:val="24"/>
        </w:rPr>
        <w:t xml:space="preserve">оказателей конструктивных решений-аналогов заказчиком выполняется приведение стоимостных показателей объектов-аналогов или конструктивных решений-аналогов применительно к условиям осуществления строительства планируемого объекта капитального строительства.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16. Для определения НМЦК в уровне цен периода исполнения контракта с использованием формул (1) и (2), приведенных в </w:t>
      </w:r>
      <w:hyperlink w:tooltip="18. Определение НМЦК в уровне цен периода исполнения контракта на подготовку проектной документации и (или) выполнение инженерных изысканий, выполнение работ по строительству, реконструкции и (или) капитальному ремонту) (без учета затрат на оборудование), затраты на оборудование (в случае, если затраты на оборудование предусмотрены контрактом) осуществляется по формуле (1):" w:anchor="P91" w:history="1">
        <w:r>
          <w:rPr>
            <w:color w:val="0000ff"/>
            <w:sz w:val="24"/>
          </w:rPr>
          <w:t xml:space="preserve">пунктах 18</w:t>
        </w:r>
      </w:hyperlink>
      <w:r>
        <w:rPr>
          <w:sz w:val="24"/>
        </w:rPr>
        <w:t xml:space="preserve"> и </w:t>
      </w:r>
      <w:hyperlink w:tooltip="19. Индекс прогнозной инфляции на период исполнения контракта со сроком продолжительности более одного года (Кп) определяется по формуле (2), полученное значение округляется до 4 знаков после запятой:" w:anchor="P100" w:history="1">
        <w:r>
          <w:rPr>
            <w:color w:val="0000ff"/>
            <w:sz w:val="24"/>
          </w:rPr>
          <w:t xml:space="preserve">19</w:t>
        </w:r>
      </w:hyperlink>
      <w:r>
        <w:rPr>
          <w:sz w:val="24"/>
        </w:rPr>
        <w:t xml:space="preserve"> настоящего Порядка, применяется: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а) офи</w:t>
      </w:r>
      <w:r>
        <w:rPr>
          <w:sz w:val="24"/>
        </w:rPr>
        <w:t xml:space="preserve">циальная статистическая информация об индексах цен на продукцию (затраты, услуги) инвестиционного назначения по видам экономической деятельности (строительство), публикуемая Росстатом для соответствующего периода в целом по Российской Федерации или индекса</w:t>
      </w:r>
      <w:r>
        <w:rPr>
          <w:sz w:val="24"/>
        </w:rPr>
        <w:t xml:space="preserve">х фактической инфляции (при наличии), установленных уполномоченными исполнительными органами субъектов Российской Федерации, в случае осуществления закупок за счет средств бюджета субъекта Российской Федерации (далее - индексы фактической инфляции). Индекс</w:t>
      </w:r>
      <w:r>
        <w:rPr>
          <w:sz w:val="24"/>
        </w:rPr>
        <w:t xml:space="preserve">ы фактической инфляции применяются для пересчета сметной стоимости строительства из уровня цен, учтенного при разработке показателей НЦС или из уровня цен на дату утверждения проектной документации объектов-аналогов, в уровень цен на дату определения НМЦК.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При этом за дату утверждения проектной документации объектов-аналогов принимается дата последнего месяца квартала, принятого для определения индексов изменения сметной стоимости строительства, включенных Минстроем России в ФРСН в соответствии с </w:t>
      </w:r>
      <w:r>
        <w:rPr>
          <w:sz w:val="24"/>
        </w:rPr>
        <w:t xml:space="preserve">пунктом 4</w:t>
      </w:r>
      <w:r>
        <w:rPr>
          <w:sz w:val="24"/>
        </w:rPr>
        <w:t xml:space="preserve"> Порядка N 1470/пр, используемых при формировании сметной документации объекта-аналога;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б) индексы-дефляторы Минэкономразвития России по строке "Инвестиции в основной к</w:t>
      </w:r>
      <w:r>
        <w:rPr>
          <w:sz w:val="24"/>
        </w:rPr>
        <w:t xml:space="preserve">апитал (капитальные вложения)" или прогнозных индексов инфляции (при наличии), установленных уполномоченным исполнительным органом субъекта Российской Федерации, в случае осуществления закупок за счет средств бюджета субъекта Российской Федерации (далее - </w:t>
      </w:r>
      <w:r>
        <w:rPr>
          <w:sz w:val="24"/>
        </w:rPr>
        <w:t xml:space="preserve">индекс прогнозной инфляции). Индексы прогнозной инфляции применяются для пересчета сметной стоимости строительства из уровня цен на дату определения НМЦК в уровень цен соответствующего периода исполнения контракта и определяются по формулам, приведенным в </w:t>
      </w:r>
      <w:r>
        <w:rPr>
          <w:sz w:val="24"/>
        </w:rPr>
        <w:t xml:space="preserve">подпункте "б" пункта 8</w:t>
      </w:r>
      <w:r>
        <w:rPr>
          <w:sz w:val="24"/>
        </w:rPr>
        <w:t xml:space="preserve"> Порядка N 841/пр.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17. Определение НМЦК в уровне цен периода исполнения контракта на подготовку проектной документации и (или) выполнение инженерных изысканий, в</w:t>
      </w:r>
      <w:r>
        <w:rPr>
          <w:sz w:val="24"/>
        </w:rPr>
        <w:t xml:space="preserve">ыполнение работ по строительству, реконструкции и (или) капитальному ремонту (без учета затрат на оборудование), затраты на оборудование (в случае, если затраты на оборудование предусмотрены контрактом) осуществляется в приведенной ниже последовательности: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а) выполняется расчет затрат, включающий затраты на выполнение подрядных работ, затраты на оборудование (в случае, если затраты на оборудование предусмотрены контрактом);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б) производится пересчет затрат из уровня цен, учтенного при разработке показателей НЦС и (или) из уровня цен на дату утверждения проектной документации объектов-аналогов, в уровень цен на дату определения НМЦК с применением индексов фактической инфляции;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в) расчет затрат, выполненный в уровне цен на дату определения НМЦК, умножается на индекс прогнозной инфляции на весь планируемый период исполнения контракта с использованием информации о сроках выполнения работ.</w:t>
      </w:r>
      <w:r/>
    </w:p>
    <w:p>
      <w:pPr>
        <w:pStyle w:val="827"/>
        <w:ind w:firstLine="540"/>
        <w:jc w:val="both"/>
        <w:spacing w:before="240"/>
      </w:pPr>
      <w:r/>
      <w:bookmarkStart w:id="91" w:name="P91"/>
      <w:r/>
      <w:bookmarkEnd w:id="91"/>
      <w:r>
        <w:rPr>
          <w:sz w:val="24"/>
        </w:rPr>
        <w:t xml:space="preserve">18. Определение НМЦК в уровне цен периода исполнения контракта на подготовку проектной документации и (или) выполнение и</w:t>
      </w:r>
      <w:r>
        <w:rPr>
          <w:sz w:val="24"/>
        </w:rPr>
        <w:t xml:space="preserve">нженерных изысканий, выполнение работ по строительству, реконструкции и (или) капитальному ремонту) (без учета затрат на оборудование), затраты на оборудование (в случае, если затраты на оборудование предусмотрены контрактом) осуществляется по формуле (1):</w:t>
      </w:r>
      <w:r/>
    </w:p>
    <w:p>
      <w:pPr>
        <w:pStyle w:val="827"/>
        <w:ind w:firstLine="540"/>
        <w:jc w:val="both"/>
      </w:pPr>
      <w:r>
        <w:rPr>
          <w:sz w:val="24"/>
        </w:rPr>
      </w:r>
      <w:r/>
    </w:p>
    <w:p>
      <w:pPr>
        <w:pStyle w:val="827"/>
        <w:jc w:val="center"/>
      </w:pPr>
      <w:r>
        <w:rPr>
          <w:sz w:val="24"/>
        </w:rPr>
        <w:t xml:space="preserve">НМЦК = (З</w:t>
      </w:r>
      <w:r>
        <w:rPr>
          <w:sz w:val="24"/>
          <w:vertAlign w:val="subscript"/>
        </w:rPr>
        <w:t xml:space="preserve">пр</w:t>
      </w:r>
      <w:r>
        <w:rPr>
          <w:sz w:val="24"/>
        </w:rPr>
        <w:t xml:space="preserve"> + З</w:t>
      </w:r>
      <w:r>
        <w:rPr>
          <w:sz w:val="24"/>
          <w:vertAlign w:val="subscript"/>
        </w:rPr>
        <w:t xml:space="preserve">об</w:t>
      </w:r>
      <w:r>
        <w:rPr>
          <w:sz w:val="24"/>
        </w:rPr>
        <w:t xml:space="preserve">) x К</w:t>
      </w:r>
      <w:r>
        <w:rPr>
          <w:sz w:val="24"/>
          <w:vertAlign w:val="subscript"/>
        </w:rPr>
        <w:t xml:space="preserve">ф</w:t>
      </w:r>
      <w:r>
        <w:rPr>
          <w:sz w:val="24"/>
        </w:rPr>
        <w:t xml:space="preserve"> x К</w:t>
      </w:r>
      <w:r>
        <w:rPr>
          <w:sz w:val="24"/>
          <w:vertAlign w:val="subscript"/>
        </w:rPr>
        <w:t xml:space="preserve">п</w:t>
      </w:r>
      <w:r>
        <w:rPr>
          <w:sz w:val="24"/>
        </w:rPr>
        <w:t xml:space="preserve"> (1),</w:t>
      </w:r>
      <w:r/>
    </w:p>
    <w:p>
      <w:pPr>
        <w:pStyle w:val="827"/>
        <w:ind w:firstLine="540"/>
        <w:jc w:val="both"/>
      </w:pPr>
      <w:r>
        <w:rPr>
          <w:sz w:val="24"/>
        </w:rPr>
      </w:r>
      <w:r/>
    </w:p>
    <w:p>
      <w:pPr>
        <w:pStyle w:val="827"/>
        <w:ind w:firstLine="540"/>
        <w:jc w:val="both"/>
      </w:pPr>
      <w:r>
        <w:rPr>
          <w:sz w:val="24"/>
        </w:rPr>
        <w:t xml:space="preserve">где: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З</w:t>
      </w:r>
      <w:r>
        <w:rPr>
          <w:sz w:val="24"/>
          <w:vertAlign w:val="subscript"/>
        </w:rPr>
        <w:t xml:space="preserve">пр</w:t>
      </w:r>
      <w:r>
        <w:rPr>
          <w:sz w:val="24"/>
        </w:rPr>
        <w:t xml:space="preserve"> - затраты на подготовку проектной документации и (или) выполнение инженерных изысканий, выполнение работ по строительству, реконструкции и (или) капитальному ремонту (без учета затрат на оборудование), рублей;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З</w:t>
      </w:r>
      <w:r>
        <w:rPr>
          <w:sz w:val="24"/>
          <w:vertAlign w:val="subscript"/>
        </w:rPr>
        <w:t xml:space="preserve">об</w:t>
      </w:r>
      <w:r>
        <w:rPr>
          <w:sz w:val="24"/>
        </w:rPr>
        <w:t xml:space="preserve"> - затраты на оборудование (в случае, если затраты на оборудование предусмотрены контрактом), рублей;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К</w:t>
      </w:r>
      <w:r>
        <w:rPr>
          <w:sz w:val="24"/>
          <w:vertAlign w:val="subscript"/>
        </w:rPr>
        <w:t xml:space="preserve">ф</w:t>
      </w:r>
      <w:r>
        <w:rPr>
          <w:sz w:val="24"/>
        </w:rPr>
        <w:t xml:space="preserve"> - индекс фактической инфляции на дату формирования НМЦК;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К</w:t>
      </w:r>
      <w:r>
        <w:rPr>
          <w:sz w:val="24"/>
          <w:vertAlign w:val="subscript"/>
        </w:rPr>
        <w:t xml:space="preserve">п</w:t>
      </w:r>
      <w:r>
        <w:rPr>
          <w:sz w:val="24"/>
        </w:rPr>
        <w:t xml:space="preserve"> - индекс прогнозной инфляции на период исполнения контракта.</w:t>
      </w:r>
      <w:r/>
    </w:p>
    <w:p>
      <w:pPr>
        <w:pStyle w:val="827"/>
        <w:ind w:firstLine="540"/>
        <w:jc w:val="both"/>
        <w:spacing w:before="240"/>
      </w:pPr>
      <w:r/>
      <w:bookmarkStart w:id="100" w:name="P100"/>
      <w:r/>
      <w:bookmarkEnd w:id="100"/>
      <w:r>
        <w:rPr>
          <w:sz w:val="24"/>
        </w:rPr>
        <w:t xml:space="preserve">19. Индекс прогнозной инфляции на период исполнения контракта со сроком продолжительности более одного года (К</w:t>
      </w:r>
      <w:r>
        <w:rPr>
          <w:sz w:val="24"/>
          <w:vertAlign w:val="subscript"/>
        </w:rPr>
        <w:t xml:space="preserve">п</w:t>
      </w:r>
      <w:r>
        <w:rPr>
          <w:sz w:val="24"/>
        </w:rPr>
        <w:t xml:space="preserve">) определяется по формуле (2), полученное значение округляется до 4 знаков после запятой:</w:t>
      </w:r>
      <w:r/>
    </w:p>
    <w:p>
      <w:pPr>
        <w:pStyle w:val="827"/>
        <w:ind w:firstLine="540"/>
        <w:jc w:val="both"/>
      </w:pPr>
      <w:r>
        <w:rPr>
          <w:sz w:val="24"/>
        </w:rPr>
      </w:r>
      <w:r/>
    </w:p>
    <w:p>
      <w:pPr>
        <w:pStyle w:val="827"/>
        <w:jc w:val="center"/>
      </w:pPr>
      <w:r>
        <w:rPr>
          <w:sz w:val="24"/>
        </w:rPr>
        <w:t xml:space="preserve">К</w:t>
      </w:r>
      <w:r>
        <w:rPr>
          <w:sz w:val="24"/>
          <w:vertAlign w:val="subscript"/>
        </w:rPr>
        <w:t xml:space="preserve">п</w:t>
      </w:r>
      <w:r>
        <w:rPr>
          <w:sz w:val="24"/>
        </w:rPr>
        <w:t xml:space="preserve"> = Д</w:t>
      </w:r>
      <w:r>
        <w:rPr>
          <w:sz w:val="24"/>
          <w:vertAlign w:val="subscript"/>
        </w:rPr>
        <w:t xml:space="preserve">1</w:t>
      </w:r>
      <w:r>
        <w:rPr>
          <w:sz w:val="24"/>
        </w:rPr>
        <w:t xml:space="preserve"> x К</w:t>
      </w:r>
      <w:r>
        <w:rPr>
          <w:sz w:val="24"/>
          <w:vertAlign w:val="subscript"/>
        </w:rPr>
        <w:t xml:space="preserve">инфл.пер.</w:t>
      </w:r>
      <w:r>
        <w:rPr>
          <w:sz w:val="24"/>
        </w:rPr>
        <w:t xml:space="preserve"> + Д</w:t>
      </w:r>
      <w:r>
        <w:rPr>
          <w:sz w:val="24"/>
          <w:vertAlign w:val="subscript"/>
        </w:rPr>
        <w:t xml:space="preserve">2</w:t>
      </w:r>
      <w:r>
        <w:rPr>
          <w:sz w:val="24"/>
        </w:rPr>
        <w:t xml:space="preserve"> x К</w:t>
      </w:r>
      <w:r>
        <w:rPr>
          <w:sz w:val="24"/>
          <w:vertAlign w:val="subscript"/>
        </w:rPr>
        <w:t xml:space="preserve">2</w:t>
      </w:r>
      <w:r>
        <w:rPr>
          <w:sz w:val="24"/>
        </w:rPr>
        <w:t xml:space="preserve"> + ... + Д</w:t>
      </w:r>
      <w:r>
        <w:rPr>
          <w:sz w:val="24"/>
          <w:vertAlign w:val="subscript"/>
        </w:rPr>
        <w:t xml:space="preserve">i</w:t>
      </w:r>
      <w:r>
        <w:rPr>
          <w:sz w:val="24"/>
        </w:rPr>
        <w:t xml:space="preserve"> x К</w:t>
      </w:r>
      <w:r>
        <w:rPr>
          <w:sz w:val="24"/>
          <w:vertAlign w:val="subscript"/>
        </w:rPr>
        <w:t xml:space="preserve">i</w:t>
      </w:r>
      <w:r>
        <w:rPr>
          <w:sz w:val="24"/>
        </w:rPr>
        <w:t xml:space="preserve"> (2),</w:t>
      </w:r>
      <w:r/>
    </w:p>
    <w:p>
      <w:pPr>
        <w:pStyle w:val="827"/>
        <w:ind w:firstLine="540"/>
        <w:jc w:val="both"/>
      </w:pPr>
      <w:r>
        <w:rPr>
          <w:sz w:val="24"/>
        </w:rPr>
      </w:r>
      <w:r/>
    </w:p>
    <w:p>
      <w:pPr>
        <w:pStyle w:val="827"/>
        <w:ind w:firstLine="540"/>
        <w:jc w:val="both"/>
      </w:pPr>
      <w:r>
        <w:rPr>
          <w:sz w:val="24"/>
        </w:rPr>
        <w:t xml:space="preserve">где: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К</w:t>
      </w:r>
      <w:r>
        <w:rPr>
          <w:sz w:val="24"/>
          <w:vertAlign w:val="subscript"/>
        </w:rPr>
        <w:t xml:space="preserve">п</w:t>
      </w:r>
      <w:r>
        <w:rPr>
          <w:sz w:val="24"/>
        </w:rPr>
        <w:t xml:space="preserve"> - индекс прогнозной инфляции на период исполнения контракта;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Д</w:t>
      </w:r>
      <w:r>
        <w:rPr>
          <w:sz w:val="24"/>
          <w:vertAlign w:val="subscript"/>
        </w:rPr>
        <w:t xml:space="preserve">1</w:t>
      </w:r>
      <w:r>
        <w:rPr>
          <w:sz w:val="24"/>
        </w:rPr>
        <w:t xml:space="preserve">, Д</w:t>
      </w:r>
      <w:r>
        <w:rPr>
          <w:sz w:val="24"/>
          <w:vertAlign w:val="subscript"/>
        </w:rPr>
        <w:t xml:space="preserve">2</w:t>
      </w:r>
      <w:r>
        <w:rPr>
          <w:sz w:val="24"/>
        </w:rPr>
        <w:t xml:space="preserve">, Д</w:t>
      </w:r>
      <w:r>
        <w:rPr>
          <w:sz w:val="24"/>
          <w:vertAlign w:val="subscript"/>
        </w:rPr>
        <w:t xml:space="preserve">i</w:t>
      </w:r>
      <w:r>
        <w:rPr>
          <w:sz w:val="24"/>
        </w:rPr>
        <w:t xml:space="preserve"> - доля сметной стоимости работ, подлежащих выполнению подрядчиком соответственно в 1-й, 2-й, i-й годы строительства объекта, процентов;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i - год завершения строительства объекта;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К</w:t>
      </w:r>
      <w:r>
        <w:rPr>
          <w:sz w:val="24"/>
          <w:vertAlign w:val="subscript"/>
        </w:rPr>
        <w:t xml:space="preserve">инфл.пер.</w:t>
      </w:r>
      <w:r>
        <w:rPr>
          <w:sz w:val="24"/>
        </w:rPr>
        <w:t xml:space="preserve"> - индекс прогнозной инфляции для периода исполнения контракта, рассчитанный по формулам, приведенным в </w:t>
      </w:r>
      <w:r>
        <w:rPr>
          <w:sz w:val="24"/>
        </w:rPr>
        <w:t xml:space="preserve">подпункте "б" пункта 8</w:t>
      </w:r>
      <w:r>
        <w:rPr>
          <w:sz w:val="24"/>
        </w:rPr>
        <w:t xml:space="preserve"> Порядка N 841/пр;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К</w:t>
      </w:r>
      <w:r>
        <w:rPr>
          <w:sz w:val="24"/>
          <w:vertAlign w:val="subscript"/>
        </w:rPr>
        <w:t xml:space="preserve">2</w:t>
      </w:r>
      <w:r>
        <w:rPr>
          <w:sz w:val="24"/>
        </w:rPr>
        <w:t xml:space="preserve"> - индекс пр</w:t>
      </w:r>
      <w:r>
        <w:rPr>
          <w:sz w:val="24"/>
        </w:rPr>
        <w:t xml:space="preserve">огнозной инфляции, учитывающий инфляцию за первый и второй годы строительства объекта. Указанный индекс рассчитывается как произведение индекса прогнозной инфляции, устанавливаемого нарастающим итогом на декабрь первого года строительства объекта, и индекс</w:t>
      </w:r>
      <w:r>
        <w:rPr>
          <w:sz w:val="24"/>
        </w:rPr>
        <w:t xml:space="preserve">а прогнозной инфляции на второй год строительства объекта, определенного как среднее арифметическое между индексом прогнозной инфляции на январь второго года строительства объекта и индекса прогнозной инфляции на декабрь второго года строительства объекта;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К</w:t>
      </w:r>
      <w:r>
        <w:rPr>
          <w:sz w:val="24"/>
          <w:vertAlign w:val="subscript"/>
        </w:rPr>
        <w:t xml:space="preserve">i</w:t>
      </w:r>
      <w:r>
        <w:rPr>
          <w:sz w:val="24"/>
        </w:rPr>
        <w:t xml:space="preserve"> - индекс прогнозной инфляции</w:t>
      </w:r>
      <w:r>
        <w:rPr>
          <w:sz w:val="24"/>
        </w:rPr>
        <w:t xml:space="preserve">, учитывающий инфляцию за весь период строительства объекта. Указанный индекс рассчитывается как произведение индекса прогнозной инфляции, устанавливаемого нарастающим итогом на декабрь предшествующего года строительства объекта, и индекса прогнозной инфля</w:t>
      </w:r>
      <w:r>
        <w:rPr>
          <w:sz w:val="24"/>
        </w:rPr>
        <w:t xml:space="preserve">ции на последний год строительства объекта, определенного как среднее арифметическое между индексом прогнозной инфляции на январь последнего года строительства объекта и индексом прогнозной инфляции на дату окончания строительства объекта в последнем году.</w:t>
      </w:r>
      <w:r/>
    </w:p>
    <w:p>
      <w:pPr>
        <w:pStyle w:val="827"/>
        <w:ind w:firstLine="540"/>
        <w:jc w:val="both"/>
      </w:pPr>
      <w:r>
        <w:rPr>
          <w:sz w:val="24"/>
        </w:rPr>
      </w:r>
      <w:r/>
    </w:p>
    <w:p>
      <w:pPr>
        <w:pStyle w:val="827"/>
        <w:ind w:firstLine="540"/>
        <w:jc w:val="both"/>
      </w:pPr>
      <w:r>
        <w:rPr>
          <w:sz w:val="24"/>
        </w:rPr>
      </w:r>
      <w:r/>
    </w:p>
    <w:p>
      <w:pPr>
        <w:pStyle w:val="827"/>
        <w:ind w:firstLine="540"/>
        <w:jc w:val="both"/>
      </w:pPr>
      <w:r>
        <w:rPr>
          <w:sz w:val="24"/>
        </w:rPr>
      </w:r>
      <w:r/>
    </w:p>
    <w:p>
      <w:pPr>
        <w:pStyle w:val="827"/>
        <w:ind w:firstLine="540"/>
        <w:jc w:val="both"/>
      </w:pPr>
      <w:r>
        <w:rPr>
          <w:sz w:val="24"/>
        </w:rPr>
      </w:r>
      <w:r/>
    </w:p>
    <w:p>
      <w:pPr>
        <w:pStyle w:val="827"/>
        <w:ind w:firstLine="540"/>
        <w:jc w:val="both"/>
      </w:pPr>
      <w:r>
        <w:rPr>
          <w:sz w:val="24"/>
        </w:rPr>
      </w:r>
      <w:r/>
    </w:p>
    <w:p>
      <w:pPr>
        <w:pStyle w:val="827"/>
        <w:jc w:val="right"/>
        <w:outlineLvl w:val="1"/>
      </w:pPr>
      <w:r>
        <w:rPr>
          <w:sz w:val="24"/>
        </w:rPr>
        <w:t xml:space="preserve">Приложение</w:t>
      </w:r>
      <w:r/>
    </w:p>
    <w:p>
      <w:pPr>
        <w:pStyle w:val="827"/>
        <w:jc w:val="right"/>
      </w:pPr>
      <w:r>
        <w:rPr>
          <w:sz w:val="24"/>
        </w:rPr>
        <w:t xml:space="preserve">к Порядку определения начальной</w:t>
      </w:r>
      <w:r/>
    </w:p>
    <w:p>
      <w:pPr>
        <w:pStyle w:val="827"/>
        <w:jc w:val="right"/>
      </w:pPr>
      <w:r>
        <w:rPr>
          <w:sz w:val="24"/>
        </w:rPr>
        <w:t xml:space="preserve">(максимальной) цены контракта,</w:t>
      </w:r>
      <w:r/>
    </w:p>
    <w:p>
      <w:pPr>
        <w:pStyle w:val="827"/>
        <w:jc w:val="right"/>
      </w:pPr>
      <w:r>
        <w:rPr>
          <w:sz w:val="24"/>
        </w:rPr>
        <w:t xml:space="preserve">предметом которого может быть</w:t>
      </w:r>
      <w:r/>
    </w:p>
    <w:p>
      <w:pPr>
        <w:pStyle w:val="827"/>
        <w:jc w:val="right"/>
      </w:pPr>
      <w:r>
        <w:rPr>
          <w:sz w:val="24"/>
        </w:rPr>
        <w:t xml:space="preserve">одновременно подготовка проектной</w:t>
      </w:r>
      <w:r/>
    </w:p>
    <w:p>
      <w:pPr>
        <w:pStyle w:val="827"/>
        <w:jc w:val="right"/>
      </w:pPr>
      <w:r>
        <w:rPr>
          <w:sz w:val="24"/>
        </w:rPr>
        <w:t xml:space="preserve">документации и (или) выполнение</w:t>
      </w:r>
      <w:r/>
    </w:p>
    <w:p>
      <w:pPr>
        <w:pStyle w:val="827"/>
        <w:jc w:val="right"/>
      </w:pPr>
      <w:r>
        <w:rPr>
          <w:sz w:val="24"/>
        </w:rPr>
        <w:t xml:space="preserve">инженерных изысканий, выполнение</w:t>
      </w:r>
      <w:r/>
    </w:p>
    <w:p>
      <w:pPr>
        <w:pStyle w:val="827"/>
        <w:jc w:val="right"/>
      </w:pPr>
      <w:r>
        <w:rPr>
          <w:sz w:val="24"/>
        </w:rPr>
        <w:t xml:space="preserve">работ по строительству, реконструкции</w:t>
      </w:r>
      <w:r/>
    </w:p>
    <w:p>
      <w:pPr>
        <w:pStyle w:val="827"/>
        <w:jc w:val="right"/>
      </w:pPr>
      <w:r>
        <w:rPr>
          <w:sz w:val="24"/>
        </w:rPr>
        <w:t xml:space="preserve">и (или) капитальному ремонту объекта</w:t>
      </w:r>
      <w:r/>
    </w:p>
    <w:p>
      <w:pPr>
        <w:pStyle w:val="827"/>
        <w:jc w:val="right"/>
      </w:pPr>
      <w:r>
        <w:rPr>
          <w:sz w:val="24"/>
        </w:rPr>
        <w:t xml:space="preserve">капитального строительства, цены</w:t>
      </w:r>
      <w:r/>
    </w:p>
    <w:p>
      <w:pPr>
        <w:pStyle w:val="827"/>
        <w:jc w:val="right"/>
      </w:pPr>
      <w:r>
        <w:rPr>
          <w:sz w:val="24"/>
        </w:rPr>
        <w:t xml:space="preserve">такого контракта, заключаемого</w:t>
      </w:r>
      <w:r/>
    </w:p>
    <w:p>
      <w:pPr>
        <w:pStyle w:val="827"/>
        <w:jc w:val="right"/>
      </w:pPr>
      <w:r>
        <w:rPr>
          <w:sz w:val="24"/>
        </w:rPr>
        <w:t xml:space="preserve">с единственным поставщиком</w:t>
      </w:r>
      <w:r/>
    </w:p>
    <w:p>
      <w:pPr>
        <w:pStyle w:val="827"/>
        <w:jc w:val="right"/>
      </w:pPr>
      <w:r>
        <w:rPr>
          <w:sz w:val="24"/>
        </w:rPr>
        <w:t xml:space="preserve">(подрядчиком, исполнителем),</w:t>
      </w:r>
      <w:r/>
    </w:p>
    <w:p>
      <w:pPr>
        <w:pStyle w:val="827"/>
        <w:jc w:val="right"/>
      </w:pPr>
      <w:r>
        <w:rPr>
          <w:sz w:val="24"/>
        </w:rPr>
        <w:t xml:space="preserve">утвержденному приказом</w:t>
      </w:r>
      <w:r/>
    </w:p>
    <w:p>
      <w:pPr>
        <w:pStyle w:val="827"/>
        <w:jc w:val="right"/>
      </w:pPr>
      <w:r>
        <w:rPr>
          <w:sz w:val="24"/>
        </w:rPr>
        <w:t xml:space="preserve">Министерства строительства</w:t>
      </w:r>
      <w:r/>
    </w:p>
    <w:p>
      <w:pPr>
        <w:pStyle w:val="827"/>
        <w:jc w:val="right"/>
      </w:pPr>
      <w:r>
        <w:rPr>
          <w:sz w:val="24"/>
        </w:rPr>
        <w:t xml:space="preserve">и жилищно-коммунального хозяйства</w:t>
      </w:r>
      <w:r/>
    </w:p>
    <w:p>
      <w:pPr>
        <w:pStyle w:val="827"/>
        <w:jc w:val="right"/>
      </w:pPr>
      <w:r>
        <w:rPr>
          <w:sz w:val="24"/>
        </w:rPr>
        <w:t xml:space="preserve">Российской Федерации</w:t>
      </w:r>
      <w:r/>
    </w:p>
    <w:p>
      <w:pPr>
        <w:pStyle w:val="827"/>
        <w:jc w:val="right"/>
      </w:pPr>
      <w:r>
        <w:rPr>
          <w:sz w:val="24"/>
        </w:rPr>
        <w:t xml:space="preserve">от 21 августа 2023 г. N 604/пр</w:t>
      </w:r>
      <w:r/>
    </w:p>
    <w:p>
      <w:pPr>
        <w:pStyle w:val="827"/>
        <w:jc w:val="center"/>
      </w:pPr>
      <w:r>
        <w:rPr>
          <w:sz w:val="24"/>
        </w:rPr>
      </w:r>
      <w:r/>
    </w:p>
    <w:p>
      <w:pPr>
        <w:pStyle w:val="827"/>
        <w:jc w:val="right"/>
      </w:pPr>
      <w:r>
        <w:rPr>
          <w:sz w:val="24"/>
        </w:rPr>
        <w:t xml:space="preserve">Рекомендуемый образец</w:t>
      </w:r>
      <w:r/>
    </w:p>
    <w:p>
      <w:pPr>
        <w:pStyle w:val="827"/>
        <w:jc w:val="center"/>
      </w:pPr>
      <w:r>
        <w:rPr>
          <w:sz w:val="24"/>
        </w:rPr>
      </w:r>
      <w:r/>
    </w:p>
    <w:tbl>
      <w:tblPr>
        <w:tblInd w:w="0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9071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827"/>
              <w:jc w:val="center"/>
            </w:pPr>
            <w:r/>
            <w:bookmarkStart w:id="137" w:name="P137"/>
            <w:r/>
            <w:bookmarkEnd w:id="137"/>
            <w:r>
              <w:rPr>
                <w:sz w:val="24"/>
              </w:rPr>
              <w:t xml:space="preserve">РАСЧЕТ</w:t>
            </w:r>
            <w:r/>
          </w:p>
          <w:p>
            <w:pPr>
              <w:pStyle w:val="827"/>
              <w:jc w:val="center"/>
            </w:pPr>
            <w:r>
              <w:rPr>
                <w:sz w:val="24"/>
              </w:rPr>
              <w:t xml:space="preserve">начальной (максимальной) цены контракта, предметом которого может быть одновременно подготовка проектной док</w:t>
            </w:r>
            <w:r>
              <w:rPr>
                <w:sz w:val="24"/>
              </w:rPr>
              <w:t xml:space="preserve">ументации и (или) выполнение инженерных изысканий, выполнение работ по строительству, реконструкции и (или) капитальному ремонту объектов капитального строительства, цены такого контракта, заключаемого с единственным поставщиком (подрядчиком, исполнителем)</w:t>
            </w:r>
            <w:r/>
          </w:p>
        </w:tc>
      </w:tr>
    </w:tbl>
    <w:p>
      <w:pPr>
        <w:pStyle w:val="827"/>
      </w:pPr>
      <w:r>
        <w:rPr>
          <w:sz w:val="24"/>
        </w:rPr>
      </w:r>
      <w:r/>
    </w:p>
    <w:tbl>
      <w:tblPr>
        <w:tblInd w:w="0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287"/>
        <w:gridCol w:w="153"/>
        <w:gridCol w:w="7597"/>
      </w:tblGrid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40" w:type="dxa"/>
            <w:vAlign w:val="bottom"/>
            <w:textDirection w:val="lrTb"/>
            <w:noWrap w:val="false"/>
          </w:tcPr>
          <w:p>
            <w:pPr>
              <w:pStyle w:val="827"/>
              <w:jc w:val="both"/>
            </w:pPr>
            <w:r>
              <w:rPr>
                <w:sz w:val="24"/>
              </w:rPr>
              <w:t xml:space="preserve">По объекту: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7597" w:type="dxa"/>
            <w:textDirection w:val="lrTb"/>
            <w:noWrap w:val="false"/>
          </w:tcPr>
          <w:p>
            <w:pPr>
              <w:pStyle w:val="827"/>
              <w:jc w:val="both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87" w:type="dxa"/>
            <w:vAlign w:val="bottom"/>
            <w:textDirection w:val="lrTb"/>
            <w:noWrap w:val="false"/>
          </w:tcPr>
          <w:p>
            <w:pPr>
              <w:pStyle w:val="827"/>
              <w:jc w:val="both"/>
            </w:pPr>
            <w:r>
              <w:rPr>
                <w:sz w:val="24"/>
              </w:rPr>
              <w:t xml:space="preserve">по адресу: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7750" w:type="dxa"/>
            <w:textDirection w:val="lrTb"/>
            <w:noWrap w:val="false"/>
          </w:tcPr>
          <w:p>
            <w:pPr>
              <w:pStyle w:val="827"/>
              <w:jc w:val="both"/>
            </w:pPr>
            <w:r>
              <w:rPr>
                <w:sz w:val="24"/>
              </w:rPr>
            </w:r>
            <w:r/>
          </w:p>
        </w:tc>
      </w:tr>
    </w:tbl>
    <w:p>
      <w:pPr>
        <w:pStyle w:val="827"/>
        <w:ind w:firstLine="540"/>
        <w:jc w:val="both"/>
      </w:pPr>
      <w:r>
        <w:rPr>
          <w:sz w:val="24"/>
        </w:rPr>
      </w:r>
      <w:r/>
    </w:p>
    <w:tbl>
      <w:tblPr>
        <w:tblInd w:w="0" w:type="dxa"/>
        <w:tblBorders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814"/>
        <w:gridCol w:w="1474"/>
        <w:gridCol w:w="1304"/>
        <w:gridCol w:w="1587"/>
        <w:gridCol w:w="1474"/>
        <w:gridCol w:w="1417"/>
      </w:tblGrid>
      <w:tr>
        <w:tblPrEx>
          <w:tblBorders>
            <w:left w:val="none" w:color="000000" w:sz="4" w:space="0"/>
            <w:right w:val="none" w:color="000000" w:sz="4" w:space="0"/>
          </w:tblBorders>
        </w:tblPrEx>
        <w:trPr/>
        <w:tc>
          <w:tcPr>
            <w:gridSpan w:val="6"/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W w:w="9070" w:type="dxa"/>
            <w:textDirection w:val="lrTb"/>
            <w:noWrap w:val="false"/>
          </w:tcPr>
          <w:p>
            <w:pPr>
              <w:pStyle w:val="827"/>
              <w:jc w:val="right"/>
            </w:pPr>
            <w:r>
              <w:rPr>
                <w:sz w:val="24"/>
              </w:rPr>
              <w:t xml:space="preserve">рублей, с НДС</w:t>
            </w:r>
            <w:r/>
          </w:p>
        </w:tc>
      </w:tr>
      <w:tr>
        <w:tblPrEx/>
        <w:trPr/>
        <w:tc>
          <w:tcPr>
            <w:tcW w:w="1814" w:type="dxa"/>
            <w:textDirection w:val="lrTb"/>
            <w:noWrap w:val="false"/>
          </w:tcPr>
          <w:p>
            <w:pPr>
              <w:pStyle w:val="827"/>
              <w:jc w:val="center"/>
            </w:pPr>
            <w:r>
              <w:rPr>
                <w:sz w:val="24"/>
              </w:rPr>
              <w:t xml:space="preserve">Наименование работ и затрат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827"/>
              <w:jc w:val="center"/>
            </w:pPr>
            <w:r>
              <w:rPr>
                <w:sz w:val="24"/>
              </w:rPr>
              <w:t xml:space="preserve">Стоимость работ по показателям НЦС или в ценах на дату утверждения проектной документации объектов-аналогов</w:t>
            </w:r>
            <w:r/>
          </w:p>
        </w:tc>
        <w:tc>
          <w:tcPr>
            <w:tcW w:w="1304" w:type="dxa"/>
            <w:textDirection w:val="lrTb"/>
            <w:noWrap w:val="false"/>
          </w:tcPr>
          <w:p>
            <w:pPr>
              <w:pStyle w:val="827"/>
              <w:jc w:val="center"/>
            </w:pPr>
            <w:r>
              <w:rPr>
                <w:sz w:val="24"/>
              </w:rPr>
              <w:t xml:space="preserve">Индекс фактической инфляции</w:t>
            </w:r>
            <w:r/>
          </w:p>
        </w:tc>
        <w:tc>
          <w:tcPr>
            <w:tcW w:w="1587" w:type="dxa"/>
            <w:textDirection w:val="lrTb"/>
            <w:noWrap w:val="false"/>
          </w:tcPr>
          <w:p>
            <w:pPr>
              <w:pStyle w:val="827"/>
              <w:jc w:val="center"/>
            </w:pPr>
            <w:r>
              <w:rPr>
                <w:sz w:val="24"/>
              </w:rPr>
              <w:t xml:space="preserve">Стоимость работ в ценах на дату формирования начальной (максимальной) цены контракта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827"/>
              <w:jc w:val="center"/>
            </w:pPr>
            <w:r>
              <w:rPr>
                <w:sz w:val="24"/>
              </w:rPr>
              <w:t xml:space="preserve">Индекс прогнозной инфляции на период исполнения контракта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27"/>
              <w:jc w:val="center"/>
            </w:pPr>
            <w:r>
              <w:rPr>
                <w:sz w:val="24"/>
              </w:rPr>
              <w:t xml:space="preserve">Начальная (максимальная) цена контракта с учетом прогнозного индекса инфляции на период исполнения контракта</w:t>
            </w:r>
            <w:r/>
          </w:p>
        </w:tc>
      </w:tr>
      <w:tr>
        <w:tblPrEx/>
        <w:trPr/>
        <w:tc>
          <w:tcPr>
            <w:tcW w:w="1814" w:type="dxa"/>
            <w:textDirection w:val="lrTb"/>
            <w:noWrap w:val="false"/>
          </w:tcPr>
          <w:p>
            <w:pPr>
              <w:pStyle w:val="827"/>
            </w:pPr>
            <w:r>
              <w:rPr>
                <w:sz w:val="24"/>
              </w:rPr>
              <w:t xml:space="preserve">Затраты на подготовку проектной документации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827"/>
            </w:pPr>
            <w:r>
              <w:rPr>
                <w:sz w:val="24"/>
              </w:rPr>
            </w:r>
            <w:r/>
          </w:p>
        </w:tc>
        <w:tc>
          <w:tcPr>
            <w:tcW w:w="1304" w:type="dxa"/>
            <w:textDirection w:val="lrTb"/>
            <w:noWrap w:val="false"/>
          </w:tcPr>
          <w:p>
            <w:pPr>
              <w:pStyle w:val="827"/>
            </w:pPr>
            <w:r>
              <w:rPr>
                <w:sz w:val="24"/>
              </w:rPr>
            </w:r>
            <w:r/>
          </w:p>
        </w:tc>
        <w:tc>
          <w:tcPr>
            <w:tcW w:w="1587" w:type="dxa"/>
            <w:textDirection w:val="lrTb"/>
            <w:noWrap w:val="false"/>
          </w:tcPr>
          <w:p>
            <w:pPr>
              <w:pStyle w:val="827"/>
            </w:pPr>
            <w:r>
              <w:rPr>
                <w:sz w:val="24"/>
              </w:rPr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827"/>
            </w:pPr>
            <w:r>
              <w:rPr>
                <w:sz w:val="24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27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W w:w="1814" w:type="dxa"/>
            <w:textDirection w:val="lrTb"/>
            <w:noWrap w:val="false"/>
          </w:tcPr>
          <w:p>
            <w:pPr>
              <w:pStyle w:val="827"/>
            </w:pPr>
            <w:r>
              <w:rPr>
                <w:sz w:val="24"/>
              </w:rPr>
              <w:t xml:space="preserve">Затраты на выполнение инженерных изысканий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827"/>
            </w:pPr>
            <w:r>
              <w:rPr>
                <w:sz w:val="24"/>
              </w:rPr>
            </w:r>
            <w:r/>
          </w:p>
        </w:tc>
        <w:tc>
          <w:tcPr>
            <w:tcW w:w="1304" w:type="dxa"/>
            <w:textDirection w:val="lrTb"/>
            <w:noWrap w:val="false"/>
          </w:tcPr>
          <w:p>
            <w:pPr>
              <w:pStyle w:val="827"/>
            </w:pPr>
            <w:r>
              <w:rPr>
                <w:sz w:val="24"/>
              </w:rPr>
            </w:r>
            <w:r/>
          </w:p>
        </w:tc>
        <w:tc>
          <w:tcPr>
            <w:tcW w:w="1587" w:type="dxa"/>
            <w:textDirection w:val="lrTb"/>
            <w:noWrap w:val="false"/>
          </w:tcPr>
          <w:p>
            <w:pPr>
              <w:pStyle w:val="827"/>
            </w:pPr>
            <w:r>
              <w:rPr>
                <w:sz w:val="24"/>
              </w:rPr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827"/>
            </w:pPr>
            <w:r>
              <w:rPr>
                <w:sz w:val="24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27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W w:w="1814" w:type="dxa"/>
            <w:textDirection w:val="lrTb"/>
            <w:noWrap w:val="false"/>
          </w:tcPr>
          <w:p>
            <w:pPr>
              <w:pStyle w:val="827"/>
            </w:pPr>
            <w:r>
              <w:rPr>
                <w:sz w:val="24"/>
              </w:rPr>
              <w:t xml:space="preserve">Затраты на выполнение работ по строительству, реконструкции и (или) капитальному ремонту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827"/>
            </w:pPr>
            <w:r>
              <w:rPr>
                <w:sz w:val="24"/>
              </w:rPr>
            </w:r>
            <w:r/>
          </w:p>
        </w:tc>
        <w:tc>
          <w:tcPr>
            <w:tcW w:w="1304" w:type="dxa"/>
            <w:textDirection w:val="lrTb"/>
            <w:noWrap w:val="false"/>
          </w:tcPr>
          <w:p>
            <w:pPr>
              <w:pStyle w:val="827"/>
            </w:pPr>
            <w:r>
              <w:rPr>
                <w:sz w:val="24"/>
              </w:rPr>
            </w:r>
            <w:r/>
          </w:p>
        </w:tc>
        <w:tc>
          <w:tcPr>
            <w:tcW w:w="1587" w:type="dxa"/>
            <w:textDirection w:val="lrTb"/>
            <w:noWrap w:val="false"/>
          </w:tcPr>
          <w:p>
            <w:pPr>
              <w:pStyle w:val="827"/>
            </w:pPr>
            <w:r>
              <w:rPr>
                <w:sz w:val="24"/>
              </w:rPr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827"/>
            </w:pPr>
            <w:r>
              <w:rPr>
                <w:sz w:val="24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27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W w:w="1814" w:type="dxa"/>
            <w:textDirection w:val="lrTb"/>
            <w:noWrap w:val="false"/>
          </w:tcPr>
          <w:p>
            <w:pPr>
              <w:pStyle w:val="827"/>
            </w:pPr>
            <w:r>
              <w:rPr>
                <w:sz w:val="24"/>
              </w:rPr>
              <w:t xml:space="preserve">Затраты на оборудование (в случае, если затраты на оборудование предусмотрены контрактом)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827"/>
            </w:pPr>
            <w:r>
              <w:rPr>
                <w:sz w:val="24"/>
              </w:rPr>
            </w:r>
            <w:r/>
          </w:p>
        </w:tc>
        <w:tc>
          <w:tcPr>
            <w:tcW w:w="1304" w:type="dxa"/>
            <w:textDirection w:val="lrTb"/>
            <w:noWrap w:val="false"/>
          </w:tcPr>
          <w:p>
            <w:pPr>
              <w:pStyle w:val="827"/>
            </w:pPr>
            <w:r>
              <w:rPr>
                <w:sz w:val="24"/>
              </w:rPr>
            </w:r>
            <w:r/>
          </w:p>
        </w:tc>
        <w:tc>
          <w:tcPr>
            <w:tcW w:w="1587" w:type="dxa"/>
            <w:textDirection w:val="lrTb"/>
            <w:noWrap w:val="false"/>
          </w:tcPr>
          <w:p>
            <w:pPr>
              <w:pStyle w:val="827"/>
            </w:pPr>
            <w:r>
              <w:rPr>
                <w:sz w:val="24"/>
              </w:rPr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827"/>
            </w:pPr>
            <w:r>
              <w:rPr>
                <w:sz w:val="24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27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W w:w="1814" w:type="dxa"/>
            <w:textDirection w:val="lrTb"/>
            <w:noWrap w:val="false"/>
          </w:tcPr>
          <w:p>
            <w:pPr>
              <w:pStyle w:val="827"/>
            </w:pPr>
            <w:r>
              <w:rPr>
                <w:sz w:val="24"/>
              </w:rPr>
              <w:t xml:space="preserve">Итого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827"/>
            </w:pPr>
            <w:r>
              <w:rPr>
                <w:sz w:val="24"/>
              </w:rPr>
            </w:r>
            <w:r/>
          </w:p>
        </w:tc>
        <w:tc>
          <w:tcPr>
            <w:tcW w:w="1304" w:type="dxa"/>
            <w:textDirection w:val="lrTb"/>
            <w:noWrap w:val="false"/>
          </w:tcPr>
          <w:p>
            <w:pPr>
              <w:pStyle w:val="827"/>
            </w:pPr>
            <w:r>
              <w:rPr>
                <w:sz w:val="24"/>
              </w:rPr>
            </w:r>
            <w:r/>
          </w:p>
        </w:tc>
        <w:tc>
          <w:tcPr>
            <w:tcW w:w="1587" w:type="dxa"/>
            <w:textDirection w:val="lrTb"/>
            <w:noWrap w:val="false"/>
          </w:tcPr>
          <w:p>
            <w:pPr>
              <w:pStyle w:val="827"/>
            </w:pPr>
            <w:r>
              <w:rPr>
                <w:sz w:val="24"/>
              </w:rPr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827"/>
            </w:pPr>
            <w:r>
              <w:rPr>
                <w:sz w:val="24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27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W w:w="1814" w:type="dxa"/>
            <w:textDirection w:val="lrTb"/>
            <w:noWrap w:val="false"/>
          </w:tcPr>
          <w:p>
            <w:pPr>
              <w:pStyle w:val="827"/>
            </w:pPr>
            <w:r>
              <w:rPr>
                <w:sz w:val="24"/>
              </w:rPr>
              <w:t xml:space="preserve">Стоимость без учета НДС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827"/>
            </w:pPr>
            <w:r>
              <w:rPr>
                <w:sz w:val="24"/>
              </w:rPr>
            </w:r>
            <w:r/>
          </w:p>
        </w:tc>
        <w:tc>
          <w:tcPr>
            <w:tcW w:w="1304" w:type="dxa"/>
            <w:textDirection w:val="lrTb"/>
            <w:noWrap w:val="false"/>
          </w:tcPr>
          <w:p>
            <w:pPr>
              <w:pStyle w:val="827"/>
            </w:pPr>
            <w:r>
              <w:rPr>
                <w:sz w:val="24"/>
              </w:rPr>
            </w:r>
            <w:r/>
          </w:p>
        </w:tc>
        <w:tc>
          <w:tcPr>
            <w:tcW w:w="1587" w:type="dxa"/>
            <w:textDirection w:val="lrTb"/>
            <w:noWrap w:val="false"/>
          </w:tcPr>
          <w:p>
            <w:pPr>
              <w:pStyle w:val="827"/>
            </w:pPr>
            <w:r>
              <w:rPr>
                <w:sz w:val="24"/>
              </w:rPr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827"/>
            </w:pPr>
            <w:r>
              <w:rPr>
                <w:sz w:val="24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27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W w:w="1814" w:type="dxa"/>
            <w:textDirection w:val="lrTb"/>
            <w:noWrap w:val="false"/>
          </w:tcPr>
          <w:p>
            <w:pPr>
              <w:pStyle w:val="827"/>
            </w:pPr>
            <w:r>
              <w:rPr>
                <w:sz w:val="24"/>
              </w:rPr>
              <w:t xml:space="preserve">НДС (размер ставки, %)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827"/>
            </w:pPr>
            <w:r>
              <w:rPr>
                <w:sz w:val="24"/>
              </w:rPr>
            </w:r>
            <w:r/>
          </w:p>
        </w:tc>
        <w:tc>
          <w:tcPr>
            <w:tcW w:w="1304" w:type="dxa"/>
            <w:textDirection w:val="lrTb"/>
            <w:noWrap w:val="false"/>
          </w:tcPr>
          <w:p>
            <w:pPr>
              <w:pStyle w:val="827"/>
            </w:pPr>
            <w:r>
              <w:rPr>
                <w:sz w:val="24"/>
              </w:rPr>
            </w:r>
            <w:r/>
          </w:p>
        </w:tc>
        <w:tc>
          <w:tcPr>
            <w:tcW w:w="1587" w:type="dxa"/>
            <w:textDirection w:val="lrTb"/>
            <w:noWrap w:val="false"/>
          </w:tcPr>
          <w:p>
            <w:pPr>
              <w:pStyle w:val="827"/>
            </w:pPr>
            <w:r>
              <w:rPr>
                <w:sz w:val="24"/>
              </w:rPr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827"/>
            </w:pPr>
            <w:r>
              <w:rPr>
                <w:sz w:val="24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27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W w:w="1814" w:type="dxa"/>
            <w:textDirection w:val="lrTb"/>
            <w:noWrap w:val="false"/>
          </w:tcPr>
          <w:p>
            <w:pPr>
              <w:pStyle w:val="827"/>
            </w:pPr>
            <w:r>
              <w:rPr>
                <w:sz w:val="24"/>
              </w:rPr>
              <w:t xml:space="preserve">Стоимость с учетом НДС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827"/>
            </w:pPr>
            <w:r>
              <w:rPr>
                <w:sz w:val="24"/>
              </w:rPr>
            </w:r>
            <w:r/>
          </w:p>
        </w:tc>
        <w:tc>
          <w:tcPr>
            <w:tcW w:w="1304" w:type="dxa"/>
            <w:textDirection w:val="lrTb"/>
            <w:noWrap w:val="false"/>
          </w:tcPr>
          <w:p>
            <w:pPr>
              <w:pStyle w:val="827"/>
            </w:pPr>
            <w:r>
              <w:rPr>
                <w:sz w:val="24"/>
              </w:rPr>
            </w:r>
            <w:r/>
          </w:p>
        </w:tc>
        <w:tc>
          <w:tcPr>
            <w:tcW w:w="1587" w:type="dxa"/>
            <w:textDirection w:val="lrTb"/>
            <w:noWrap w:val="false"/>
          </w:tcPr>
          <w:p>
            <w:pPr>
              <w:pStyle w:val="827"/>
            </w:pPr>
            <w:r>
              <w:rPr>
                <w:sz w:val="24"/>
              </w:rPr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827"/>
            </w:pPr>
            <w:r>
              <w:rPr>
                <w:sz w:val="24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27"/>
            </w:pPr>
            <w:r>
              <w:rPr>
                <w:sz w:val="24"/>
              </w:rPr>
            </w:r>
            <w:r/>
          </w:p>
        </w:tc>
      </w:tr>
    </w:tbl>
    <w:p>
      <w:pPr>
        <w:pStyle w:val="827"/>
        <w:ind w:firstLine="540"/>
        <w:jc w:val="both"/>
      </w:pPr>
      <w:r>
        <w:rPr>
          <w:sz w:val="24"/>
        </w:rPr>
      </w:r>
      <w:r/>
    </w:p>
    <w:tbl>
      <w:tblPr>
        <w:tblInd w:w="0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9071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1" w:type="dxa"/>
            <w:vAlign w:val="bottom"/>
            <w:textDirection w:val="lrTb"/>
            <w:noWrap w:val="false"/>
          </w:tcPr>
          <w:p>
            <w:pPr>
              <w:pStyle w:val="827"/>
            </w:pPr>
            <w:r>
              <w:rPr>
                <w:sz w:val="24"/>
              </w:rPr>
              <w:t xml:space="preserve">Продолжительность строительства - ____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1" w:type="dxa"/>
            <w:vAlign w:val="bottom"/>
            <w:textDirection w:val="lrTb"/>
            <w:noWrap w:val="false"/>
          </w:tcPr>
          <w:p>
            <w:pPr>
              <w:pStyle w:val="827"/>
            </w:pPr>
            <w:r>
              <w:rPr>
                <w:sz w:val="24"/>
              </w:rPr>
              <w:t xml:space="preserve">Начало строительства - _________ 20__ г.,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1" w:type="dxa"/>
            <w:vAlign w:val="bottom"/>
            <w:textDirection w:val="lrTb"/>
            <w:noWrap w:val="false"/>
          </w:tcPr>
          <w:p>
            <w:pPr>
              <w:pStyle w:val="827"/>
            </w:pPr>
            <w:r>
              <w:rPr>
                <w:sz w:val="24"/>
              </w:rPr>
              <w:t xml:space="preserve">окончание строительства - _________ 20__ г.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1" w:type="dxa"/>
            <w:vAlign w:val="bottom"/>
            <w:textDirection w:val="lrTb"/>
            <w:noWrap w:val="false"/>
          </w:tcPr>
          <w:p>
            <w:pPr>
              <w:pStyle w:val="827"/>
            </w:pPr>
            <w:r>
              <w:rPr>
                <w:sz w:val="24"/>
              </w:rPr>
              <w:t xml:space="preserve">Расчет индекса фактической инфляции: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1" w:type="dxa"/>
            <w:vAlign w:val="bottom"/>
            <w:textDirection w:val="lrTb"/>
            <w:noWrap w:val="false"/>
          </w:tcPr>
          <w:p>
            <w:pPr>
              <w:pStyle w:val="827"/>
            </w:pPr>
            <w:r>
              <w:rPr>
                <w:sz w:val="24"/>
              </w:rPr>
              <w:t xml:space="preserve">Расчет индекса прогнозной инфляции:</w:t>
            </w:r>
            <w:r/>
          </w:p>
        </w:tc>
      </w:tr>
    </w:tbl>
    <w:p>
      <w:pPr>
        <w:pStyle w:val="827"/>
        <w:ind w:firstLine="540"/>
        <w:jc w:val="both"/>
      </w:pPr>
      <w:r>
        <w:rPr>
          <w:sz w:val="24"/>
        </w:rPr>
      </w:r>
      <w:r/>
    </w:p>
    <w:tbl>
      <w:tblPr>
        <w:tblInd w:w="0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9071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827"/>
            </w:pPr>
            <w:r>
              <w:rPr>
                <w:sz w:val="24"/>
              </w:rPr>
              <w:t xml:space="preserve">Заказчик: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827"/>
            </w:pPr>
            <w:r>
              <w:rPr>
                <w:sz w:val="24"/>
              </w:rPr>
              <w:t xml:space="preserve">Приложение 1: документы, на основании которых выполнен расчет начальной (максимальной) цены контракта.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827"/>
            </w:pPr>
            <w:r>
              <w:rPr>
                <w:sz w:val="24"/>
              </w:rPr>
              <w:t xml:space="preserve">Приложение 2: спецификация приобретаемого в рамах исполнения контракта оборудования с указанием страны происхождения.</w:t>
            </w:r>
            <w:r/>
          </w:p>
        </w:tc>
      </w:tr>
    </w:tbl>
    <w:p>
      <w:pPr>
        <w:pStyle w:val="827"/>
        <w:jc w:val="right"/>
      </w:pPr>
      <w:r>
        <w:rPr>
          <w:sz w:val="24"/>
        </w:rPr>
      </w:r>
      <w:r/>
    </w:p>
    <w:p>
      <w:pPr>
        <w:pStyle w:val="827"/>
        <w:jc w:val="right"/>
      </w:pPr>
      <w:r>
        <w:rPr>
          <w:sz w:val="24"/>
        </w:rPr>
      </w:r>
      <w:r/>
    </w:p>
    <w:p>
      <w:pPr>
        <w:pStyle w:val="827"/>
        <w:jc w:val="right"/>
      </w:pPr>
      <w:r>
        <w:rPr>
          <w:sz w:val="24"/>
        </w:rPr>
      </w:r>
      <w:r/>
    </w:p>
    <w:p>
      <w:pPr>
        <w:pStyle w:val="827"/>
        <w:jc w:val="right"/>
      </w:pPr>
      <w:r>
        <w:rPr>
          <w:sz w:val="24"/>
        </w:rPr>
      </w:r>
      <w:r/>
    </w:p>
    <w:p>
      <w:pPr>
        <w:pStyle w:val="827"/>
        <w:jc w:val="right"/>
      </w:pPr>
      <w:r>
        <w:rPr>
          <w:sz w:val="24"/>
        </w:rPr>
      </w:r>
      <w:r/>
    </w:p>
    <w:p>
      <w:pPr>
        <w:pStyle w:val="827"/>
        <w:jc w:val="right"/>
        <w:outlineLvl w:val="0"/>
      </w:pPr>
      <w:r>
        <w:rPr>
          <w:sz w:val="24"/>
        </w:rPr>
        <w:t xml:space="preserve">Приложение N 2</w:t>
      </w:r>
      <w:r/>
    </w:p>
    <w:p>
      <w:pPr>
        <w:pStyle w:val="827"/>
        <w:jc w:val="right"/>
      </w:pPr>
      <w:r>
        <w:rPr>
          <w:sz w:val="24"/>
        </w:rPr>
      </w:r>
      <w:r/>
    </w:p>
    <w:p>
      <w:pPr>
        <w:pStyle w:val="827"/>
        <w:jc w:val="right"/>
      </w:pPr>
      <w:r>
        <w:rPr>
          <w:sz w:val="24"/>
        </w:rPr>
        <w:t xml:space="preserve">Утверждена</w:t>
      </w:r>
      <w:r/>
    </w:p>
    <w:p>
      <w:pPr>
        <w:pStyle w:val="827"/>
        <w:jc w:val="right"/>
      </w:pPr>
      <w:r>
        <w:rPr>
          <w:sz w:val="24"/>
        </w:rPr>
        <w:t xml:space="preserve">приказом Министерства строительства</w:t>
      </w:r>
      <w:r/>
    </w:p>
    <w:p>
      <w:pPr>
        <w:pStyle w:val="827"/>
        <w:jc w:val="right"/>
      </w:pPr>
      <w:r>
        <w:rPr>
          <w:sz w:val="24"/>
        </w:rPr>
        <w:t xml:space="preserve">и жилищно-коммунального хозяйства</w:t>
      </w:r>
      <w:r/>
    </w:p>
    <w:p>
      <w:pPr>
        <w:pStyle w:val="827"/>
        <w:jc w:val="right"/>
      </w:pPr>
      <w:r>
        <w:rPr>
          <w:sz w:val="24"/>
        </w:rPr>
        <w:t xml:space="preserve">Российской Федерации</w:t>
      </w:r>
      <w:r/>
    </w:p>
    <w:p>
      <w:pPr>
        <w:pStyle w:val="827"/>
        <w:jc w:val="right"/>
      </w:pPr>
      <w:r>
        <w:rPr>
          <w:sz w:val="24"/>
        </w:rPr>
        <w:t xml:space="preserve">от 21 августа 2023 г. N 604/пр</w:t>
      </w:r>
      <w:r/>
    </w:p>
    <w:p>
      <w:pPr>
        <w:pStyle w:val="827"/>
        <w:jc w:val="right"/>
      </w:pPr>
      <w:r>
        <w:rPr>
          <w:sz w:val="24"/>
        </w:rPr>
      </w:r>
      <w:r/>
    </w:p>
    <w:p>
      <w:pPr>
        <w:pStyle w:val="829"/>
        <w:jc w:val="center"/>
      </w:pPr>
      <w:r/>
      <w:bookmarkStart w:id="223" w:name="P223"/>
      <w:r/>
      <w:bookmarkEnd w:id="223"/>
      <w:r>
        <w:rPr>
          <w:sz w:val="24"/>
        </w:rPr>
        <w:t xml:space="preserve">МЕТОДИКА</w:t>
      </w:r>
      <w:r/>
    </w:p>
    <w:p>
      <w:pPr>
        <w:pStyle w:val="829"/>
        <w:jc w:val="center"/>
      </w:pPr>
      <w:r>
        <w:rPr>
          <w:sz w:val="24"/>
        </w:rPr>
        <w:t xml:space="preserve">СОСТАВЛЕНИЯ СМЕТЫ КОНТРАКТА, ПРЕДМЕТОМ КОТОРОГО</w:t>
      </w:r>
      <w:r/>
    </w:p>
    <w:p>
      <w:pPr>
        <w:pStyle w:val="829"/>
        <w:jc w:val="center"/>
      </w:pPr>
      <w:r>
        <w:rPr>
          <w:sz w:val="24"/>
        </w:rPr>
        <w:t xml:space="preserve">МОЖЕТ БЫТЬ ОДНОВРЕМЕННО ПОДГОТОВКА ПРОЕКТНОЙ ДОКУМЕНТАЦИИ</w:t>
      </w:r>
      <w:r/>
    </w:p>
    <w:p>
      <w:pPr>
        <w:pStyle w:val="829"/>
        <w:jc w:val="center"/>
      </w:pPr>
      <w:r>
        <w:rPr>
          <w:sz w:val="24"/>
        </w:rPr>
        <w:t xml:space="preserve">И (ИЛИ) ВЫПОЛНЕНИЕ ИНЖЕНЕРНЫХ ИЗЫСКАНИЙ, ВЫПОЛНЕНИЕ РАБОТ</w:t>
      </w:r>
      <w:r/>
    </w:p>
    <w:p>
      <w:pPr>
        <w:pStyle w:val="829"/>
        <w:jc w:val="center"/>
      </w:pPr>
      <w:r>
        <w:rPr>
          <w:sz w:val="24"/>
        </w:rPr>
        <w:t xml:space="preserve">ПО СТРОИТЕЛЬСТВУ, РЕКОНСТРУКЦИИ И (ИЛИ) КАПИТАЛЬНОМУ</w:t>
      </w:r>
      <w:r/>
    </w:p>
    <w:p>
      <w:pPr>
        <w:pStyle w:val="829"/>
        <w:jc w:val="center"/>
      </w:pPr>
      <w:r>
        <w:rPr>
          <w:sz w:val="24"/>
        </w:rPr>
        <w:t xml:space="preserve">РЕМОНТУ ОБЪЕКТА КАПИТАЛЬНОГО СТРОИТЕЛЬСТВА, СМЕТЫ ТАКОГО</w:t>
      </w:r>
      <w:r/>
    </w:p>
    <w:p>
      <w:pPr>
        <w:pStyle w:val="829"/>
        <w:jc w:val="center"/>
      </w:pPr>
      <w:r>
        <w:rPr>
          <w:sz w:val="24"/>
        </w:rPr>
        <w:t xml:space="preserve">КОНТРАКТА, ЗАКЛЮЧАЕМОГО С ЕДИНСТВЕННЫМ ПОСТАВЩИКОМ</w:t>
      </w:r>
      <w:r/>
    </w:p>
    <w:p>
      <w:pPr>
        <w:pStyle w:val="829"/>
        <w:jc w:val="center"/>
      </w:pPr>
      <w:r>
        <w:rPr>
          <w:sz w:val="24"/>
        </w:rPr>
        <w:t xml:space="preserve">(ПОДРЯДЧИКОМ, ИСПОЛНИТЕЛЕМ)</w:t>
      </w:r>
      <w:r/>
    </w:p>
    <w:p>
      <w:pPr>
        <w:pStyle w:val="827"/>
        <w:ind w:firstLine="540"/>
        <w:jc w:val="both"/>
      </w:pPr>
      <w:r>
        <w:rPr>
          <w:sz w:val="24"/>
        </w:rPr>
      </w:r>
      <w:r/>
    </w:p>
    <w:p>
      <w:pPr>
        <w:pStyle w:val="827"/>
        <w:ind w:firstLine="540"/>
        <w:jc w:val="both"/>
      </w:pPr>
      <w:r>
        <w:rPr>
          <w:sz w:val="24"/>
        </w:rPr>
        <w:t xml:space="preserve">1. Настоящая Методика определяет общие правила составления сметы контракта, предметом которого может быть одновременно подготовк</w:t>
      </w:r>
      <w:r>
        <w:rPr>
          <w:sz w:val="24"/>
        </w:rPr>
        <w:t xml:space="preserve">а проектной документации и (или) выполнение инженерных изысканий, выполнение работ по строительству, реконструкции и (или) капитальному ремонту объекта капитального строительства, сметы такого контракта, заключаемого с единственным поставщиком (подрядчиком</w:t>
      </w:r>
      <w:r>
        <w:rPr>
          <w:sz w:val="24"/>
        </w:rPr>
        <w:t xml:space="preserve">, исполнителем) (далее - контракт), при его заключении и внесении изменений в контракт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2. Составление сметы контракта осуществляется без использования предусмотренных проектной документацией в соответствии с </w:t>
      </w:r>
      <w:r>
        <w:rPr>
          <w:sz w:val="24"/>
        </w:rPr>
        <w:t xml:space="preserve">частью 1 статьи 8.3</w:t>
      </w:r>
      <w:r>
        <w:rPr>
          <w:sz w:val="24"/>
        </w:rPr>
        <w:t xml:space="preserve"> Градостроительного кодекса Российской Федерации сметных нормативов, сведения о которых включены в федеральный реестр сметных нормативов, формируемый Минстроем России в соответствии с </w:t>
      </w:r>
      <w:r>
        <w:rPr>
          <w:sz w:val="24"/>
        </w:rPr>
        <w:t xml:space="preserve">Порядком</w:t>
      </w:r>
      <w:r>
        <w:rPr>
          <w:sz w:val="24"/>
        </w:rPr>
        <w:t xml:space="preserve"> формирования и ведения федерального реестра сметных нормативов, утвержденным приказом Минстроя России от 24 октября 2017 г. N 1470/пр (зарегистрирован Минюстом России 14 мая 2018 г., регистрационный N 51079), и сметных цен строительных ресурсов.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3. Составление сметы контракта осуществляется на основании проекта сметы контракта, составляемого в соответствии с </w:t>
      </w:r>
      <w:r>
        <w:rPr>
          <w:sz w:val="24"/>
        </w:rPr>
        <w:t xml:space="preserve">главой VI</w:t>
      </w:r>
      <w:r>
        <w:rPr>
          <w:sz w:val="24"/>
        </w:rPr>
        <w:t xml:space="preserve"> Порядка определения начальной (максимальной) цены контракта, цены контракта, заключаемого с единственным поставщиком (подрядчиком, исполнителем), начальной цены </w:t>
      </w:r>
      <w:r>
        <w:rPr>
          <w:sz w:val="24"/>
        </w:rPr>
        <w:t xml:space="preserve">единицы товара, работы, услуги при осуществлении закупок в сфере градостроительной деятельности (за исключением территориального планирования), утвержденного приказом Минстроя России от 23 декабря 2019 г. N 841/пр (зарегистрирован Минюстом России 3 февраля</w:t>
      </w:r>
      <w:r>
        <w:rPr>
          <w:sz w:val="24"/>
        </w:rPr>
        <w:t xml:space="preserve"> 2020 г., регистрационный N 57401), с изменениями, внесенными приказами Минстроя России от 21 июля 2021 г. N 500/пр (зарегистрирован Минюстом России 13 августа 2021 г., регистрационный N 64642), от 7 октября 2021 г. N 728/пр (зарегистрирован Минюстом Росси</w:t>
      </w:r>
      <w:r>
        <w:rPr>
          <w:sz w:val="24"/>
        </w:rPr>
        <w:t xml:space="preserve">и 2 декабря 2021 г., регистрационный N 66180), от 25 февраля 2022 г. N 124/пр (зарегистрирован Минюстом России 27 апреля 2022 г., регистрационный N 68345), от 14 июня 2022 г. N 484/пр (зарегистрирован Минюстом России 4 октября 2022 г., регистрационный N 70</w:t>
      </w:r>
      <w:r>
        <w:rPr>
          <w:sz w:val="24"/>
        </w:rPr>
        <w:t xml:space="preserve">372) (далее - приказ N 841/пр), при этом стоимость работ по подготовке проектной документации и (или) выполнению инженерных изысканий, а также затрат на оборудование, мебель и инвентарь с указанием страны их происхождения (далее - оборудование), приобретае</w:t>
      </w:r>
      <w:r>
        <w:rPr>
          <w:sz w:val="24"/>
        </w:rPr>
        <w:t xml:space="preserve">мых в рамках контракта, в случае, если оборудование в соответствии с законодательством Российской Федерации о бухгалтерском учете подлежит принятию к бухгалтерскому учету в качестве отдельного объекта основных средств, выделяется отдельной строкой в смете.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Рекомендуемый образец сметы контракта приведен в </w:t>
      </w:r>
      <w:r>
        <w:rPr>
          <w:sz w:val="24"/>
        </w:rPr>
        <w:t xml:space="preserve">приложении N 1</w:t>
      </w:r>
      <w:r>
        <w:rPr>
          <w:sz w:val="24"/>
        </w:rPr>
        <w:t xml:space="preserve"> к Методике составления сметы контракта, предметом которого являются строительство, реконструкция объектов капитального строительства, утвержденной приказом N 841/пр (далее - Методика N 841/пр).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4. Внесение изменений в смету контракта осуществляется в соответствии с </w:t>
      </w:r>
      <w:r>
        <w:rPr>
          <w:sz w:val="24"/>
        </w:rPr>
        <w:t xml:space="preserve">пунктами 9</w:t>
      </w:r>
      <w:r>
        <w:rPr>
          <w:sz w:val="24"/>
        </w:rPr>
        <w:t xml:space="preserve"> - </w:t>
      </w:r>
      <w:r>
        <w:rPr>
          <w:sz w:val="24"/>
        </w:rPr>
        <w:t xml:space="preserve">12</w:t>
      </w:r>
      <w:r>
        <w:rPr>
          <w:sz w:val="24"/>
        </w:rPr>
        <w:t xml:space="preserve">, </w:t>
      </w:r>
      <w:r>
        <w:rPr>
          <w:sz w:val="24"/>
        </w:rPr>
        <w:t xml:space="preserve">14</w:t>
      </w:r>
      <w:r>
        <w:rPr>
          <w:sz w:val="24"/>
        </w:rPr>
        <w:t xml:space="preserve"> - </w:t>
      </w:r>
      <w:r>
        <w:rPr>
          <w:sz w:val="24"/>
        </w:rPr>
        <w:t xml:space="preserve">14.6</w:t>
      </w:r>
      <w:r>
        <w:rPr>
          <w:sz w:val="24"/>
        </w:rPr>
        <w:t xml:space="preserve"> Методики N 841/пр в случаях, установленных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нужд".</w:t>
      </w:r>
      <w:r/>
    </w:p>
    <w:p>
      <w:pPr>
        <w:pStyle w:val="827"/>
        <w:ind w:firstLine="540"/>
        <w:jc w:val="both"/>
      </w:pPr>
      <w:r>
        <w:rPr>
          <w:sz w:val="24"/>
        </w:rPr>
      </w:r>
      <w:r/>
    </w:p>
    <w:p>
      <w:pPr>
        <w:pStyle w:val="827"/>
        <w:ind w:firstLine="540"/>
        <w:jc w:val="both"/>
      </w:pPr>
      <w:r>
        <w:rPr>
          <w:sz w:val="24"/>
        </w:rPr>
      </w:r>
      <w:r/>
    </w:p>
    <w:p>
      <w:pPr>
        <w:pStyle w:val="827"/>
        <w:ind w:firstLine="540"/>
        <w:jc w:val="both"/>
      </w:pPr>
      <w:r>
        <w:rPr>
          <w:sz w:val="24"/>
        </w:rPr>
      </w:r>
      <w:r/>
    </w:p>
    <w:p>
      <w:pPr>
        <w:pStyle w:val="827"/>
        <w:ind w:firstLine="540"/>
        <w:jc w:val="both"/>
      </w:pPr>
      <w:r>
        <w:rPr>
          <w:sz w:val="24"/>
        </w:rPr>
      </w:r>
      <w:r/>
    </w:p>
    <w:p>
      <w:pPr>
        <w:pStyle w:val="827"/>
        <w:ind w:firstLine="540"/>
        <w:jc w:val="both"/>
      </w:pPr>
      <w:r>
        <w:rPr>
          <w:sz w:val="24"/>
        </w:rPr>
      </w:r>
      <w:r/>
    </w:p>
    <w:p>
      <w:pPr>
        <w:pStyle w:val="827"/>
        <w:jc w:val="right"/>
        <w:outlineLvl w:val="0"/>
      </w:pPr>
      <w:r>
        <w:rPr>
          <w:sz w:val="24"/>
        </w:rPr>
        <w:t xml:space="preserve">Приложение N 3</w:t>
      </w:r>
      <w:r/>
    </w:p>
    <w:p>
      <w:pPr>
        <w:pStyle w:val="827"/>
        <w:jc w:val="right"/>
      </w:pPr>
      <w:r>
        <w:rPr>
          <w:sz w:val="24"/>
        </w:rPr>
      </w:r>
      <w:r/>
    </w:p>
    <w:p>
      <w:pPr>
        <w:pStyle w:val="827"/>
        <w:jc w:val="right"/>
      </w:pPr>
      <w:r>
        <w:rPr>
          <w:sz w:val="24"/>
        </w:rPr>
        <w:t xml:space="preserve">Утвержден</w:t>
      </w:r>
      <w:r/>
    </w:p>
    <w:p>
      <w:pPr>
        <w:pStyle w:val="827"/>
        <w:jc w:val="right"/>
      </w:pPr>
      <w:r>
        <w:rPr>
          <w:sz w:val="24"/>
        </w:rPr>
        <w:t xml:space="preserve">приказом Министерства строительства</w:t>
      </w:r>
      <w:r/>
    </w:p>
    <w:p>
      <w:pPr>
        <w:pStyle w:val="827"/>
        <w:jc w:val="right"/>
      </w:pPr>
      <w:r>
        <w:rPr>
          <w:sz w:val="24"/>
        </w:rPr>
        <w:t xml:space="preserve">и жилищно-коммунального хозяйства</w:t>
      </w:r>
      <w:r/>
    </w:p>
    <w:p>
      <w:pPr>
        <w:pStyle w:val="827"/>
        <w:jc w:val="right"/>
      </w:pPr>
      <w:r>
        <w:rPr>
          <w:sz w:val="24"/>
        </w:rPr>
        <w:t xml:space="preserve">Российской Федерации</w:t>
      </w:r>
      <w:r/>
    </w:p>
    <w:p>
      <w:pPr>
        <w:pStyle w:val="827"/>
        <w:jc w:val="right"/>
      </w:pPr>
      <w:r>
        <w:rPr>
          <w:sz w:val="24"/>
        </w:rPr>
        <w:t xml:space="preserve">от 21 августа 2023 г. N 604/пр</w:t>
      </w:r>
      <w:r/>
    </w:p>
    <w:p>
      <w:pPr>
        <w:pStyle w:val="827"/>
        <w:jc w:val="right"/>
      </w:pPr>
      <w:r>
        <w:rPr>
          <w:sz w:val="24"/>
        </w:rPr>
      </w:r>
      <w:r/>
    </w:p>
    <w:p>
      <w:pPr>
        <w:pStyle w:val="829"/>
        <w:jc w:val="center"/>
      </w:pPr>
      <w:r/>
      <w:bookmarkStart w:id="250" w:name="P250"/>
      <w:r/>
      <w:bookmarkEnd w:id="250"/>
      <w:r>
        <w:rPr>
          <w:sz w:val="24"/>
        </w:rPr>
        <w:t xml:space="preserve">ПОРЯДОК</w:t>
      </w:r>
      <w:r/>
    </w:p>
    <w:p>
      <w:pPr>
        <w:pStyle w:val="829"/>
        <w:jc w:val="center"/>
      </w:pPr>
      <w:r>
        <w:rPr>
          <w:sz w:val="24"/>
        </w:rPr>
        <w:t xml:space="preserve">ИЗМЕНЕНИЯ ЦЕНЫ КОНТРАКТА, ПРЕДМЕТОМ КОТОРОГО</w:t>
      </w:r>
      <w:r/>
    </w:p>
    <w:p>
      <w:pPr>
        <w:pStyle w:val="829"/>
        <w:jc w:val="center"/>
      </w:pPr>
      <w:r>
        <w:rPr>
          <w:sz w:val="24"/>
        </w:rPr>
        <w:t xml:space="preserve">МОЖЕТ БЫТЬ ОДНОВРЕМЕННО ПОДГОТОВКА ПРОЕКТНОЙ ДОКУМЕНТАЦИИ</w:t>
      </w:r>
      <w:r/>
    </w:p>
    <w:p>
      <w:pPr>
        <w:pStyle w:val="829"/>
        <w:jc w:val="center"/>
      </w:pPr>
      <w:r>
        <w:rPr>
          <w:sz w:val="24"/>
        </w:rPr>
        <w:t xml:space="preserve">И (ИЛИ) ВЫПОЛНЕНИЕ ИНЖЕНЕРНЫХ ИЗЫСКАНИЙ, ВЫПОЛНЕНИЕ РАБОТ</w:t>
      </w:r>
      <w:r/>
    </w:p>
    <w:p>
      <w:pPr>
        <w:pStyle w:val="829"/>
        <w:jc w:val="center"/>
      </w:pPr>
      <w:r>
        <w:rPr>
          <w:sz w:val="24"/>
        </w:rPr>
        <w:t xml:space="preserve">ПО СТРОИТЕЛЬСТВУ, РЕКОНСТРУКЦИИ И (ИЛИ) КАПИТАЛЬНОМУ РЕМОНТУ</w:t>
      </w:r>
      <w:r/>
    </w:p>
    <w:p>
      <w:pPr>
        <w:pStyle w:val="829"/>
        <w:jc w:val="center"/>
      </w:pPr>
      <w:r>
        <w:rPr>
          <w:sz w:val="24"/>
        </w:rPr>
        <w:t xml:space="preserve">ОБЪЕКТА КАПИТАЛЬНОГО СТРОИТЕЛЬСТВА, ЦЕНЫ ТАКОГО КОНТРАКТА,</w:t>
      </w:r>
      <w:r/>
    </w:p>
    <w:p>
      <w:pPr>
        <w:pStyle w:val="829"/>
        <w:jc w:val="center"/>
      </w:pPr>
      <w:r>
        <w:rPr>
          <w:sz w:val="24"/>
        </w:rPr>
        <w:t xml:space="preserve">ЗАКЛЮЧАЕМОГО С ЕДИНСТВЕННЫМ ПОСТАВЩИКОМ (ПОДРЯДЧИКОМ,</w:t>
      </w:r>
      <w:r/>
    </w:p>
    <w:p>
      <w:pPr>
        <w:pStyle w:val="829"/>
        <w:jc w:val="center"/>
      </w:pPr>
      <w:r>
        <w:rPr>
          <w:sz w:val="24"/>
        </w:rPr>
        <w:t xml:space="preserve">ИСПОЛНИТЕЛЕМ), В СЛУЧАЯХ, ПРЕДУСМОТРЕННЫХ ПОДПУНКТОМ "А"</w:t>
      </w:r>
      <w:r/>
    </w:p>
    <w:p>
      <w:pPr>
        <w:pStyle w:val="829"/>
        <w:jc w:val="center"/>
      </w:pPr>
      <w:r>
        <w:rPr>
          <w:sz w:val="24"/>
        </w:rPr>
        <w:t xml:space="preserve">ПУНКТА 1 И ПУНКТОМ 2 ЧАСТИ 62 СТАТЬИ 112 ФЕДЕРАЛЬНОГО ЗАКОНА</w:t>
      </w:r>
      <w:r/>
    </w:p>
    <w:p>
      <w:pPr>
        <w:pStyle w:val="829"/>
        <w:jc w:val="center"/>
      </w:pPr>
      <w:r>
        <w:rPr>
          <w:sz w:val="24"/>
        </w:rPr>
        <w:t xml:space="preserve">ОТ 5 АПРЕЛЯ 2013 Г. N 44-ФЗ "О КОНТРАКТНОЙ СИСТЕМЕ В СФЕРЕ</w:t>
      </w:r>
      <w:r/>
    </w:p>
    <w:p>
      <w:pPr>
        <w:pStyle w:val="829"/>
        <w:jc w:val="center"/>
      </w:pPr>
      <w:r>
        <w:rPr>
          <w:sz w:val="24"/>
        </w:rPr>
        <w:t xml:space="preserve">ЗАКУПОК ТОВАРОВ, РАБОТ, УСЛУГ ДЛЯ ОБЕСПЕЧЕНИЯ</w:t>
      </w:r>
      <w:r/>
    </w:p>
    <w:p>
      <w:pPr>
        <w:pStyle w:val="829"/>
        <w:jc w:val="center"/>
      </w:pPr>
      <w:r>
        <w:rPr>
          <w:sz w:val="24"/>
        </w:rPr>
        <w:t xml:space="preserve">ГОСУДАРСТВЕННЫХ И МУНИЦИПАЛЬНЫХ НУЖД"</w:t>
      </w:r>
      <w:r/>
    </w:p>
    <w:p>
      <w:pPr>
        <w:spacing w:after="1"/>
      </w:pPr>
      <w:r/>
      <w:r/>
    </w:p>
    <w:tbl>
      <w:tblPr>
        <w:tblW w:w="5000" w:type="pct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>
        <w:tblPrEx/>
        <w:trPr/>
        <w:tc>
          <w:tcPr>
            <w:shd w:val="clear" w:color="auto" w:fill="ced3f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0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113" w:type="dxa"/>
              <w:right w:w="0" w:type="dxa"/>
              <w:bottom w:w="113" w:type="dxa"/>
            </w:tcMar>
            <w:tcW w:w="0" w:type="auto"/>
            <w:textDirection w:val="lrTb"/>
            <w:noWrap w:val="false"/>
          </w:tcPr>
          <w:p>
            <w:pPr>
              <w:pStyle w:val="827"/>
              <w:jc w:val="center"/>
            </w:pPr>
            <w:r>
              <w:rPr>
                <w:color w:val="392c69"/>
                <w:sz w:val="24"/>
              </w:rPr>
              <w:t xml:space="preserve">Список изменяющих документов</w:t>
            </w:r>
            <w:r/>
          </w:p>
          <w:p>
            <w:pPr>
              <w:pStyle w:val="827"/>
              <w:jc w:val="center"/>
            </w:pPr>
            <w:r>
              <w:rPr>
                <w:color w:val="392c69"/>
                <w:sz w:val="24"/>
              </w:rPr>
              <w:t xml:space="preserve">(в ред. Приказов Минстроя России от 17.01.2025 </w:t>
            </w:r>
            <w:r>
              <w:rPr>
                <w:color w:val="392c69"/>
                <w:sz w:val="24"/>
              </w:rPr>
              <w:t xml:space="preserve">N 18/пр</w:t>
            </w:r>
            <w:r>
              <w:rPr>
                <w:color w:val="392c69"/>
                <w:sz w:val="24"/>
              </w:rPr>
              <w:t xml:space="preserve">,</w:t>
            </w:r>
            <w:r/>
          </w:p>
          <w:p>
            <w:pPr>
              <w:pStyle w:val="827"/>
              <w:jc w:val="center"/>
            </w:pPr>
            <w:r>
              <w:rPr>
                <w:color w:val="392c69"/>
                <w:sz w:val="24"/>
              </w:rPr>
              <w:t xml:space="preserve">от 23.01.2026 </w:t>
            </w:r>
            <w:r>
              <w:rPr>
                <w:color w:val="392c69"/>
                <w:sz w:val="24"/>
              </w:rPr>
              <w:t xml:space="preserve">N 22/пр</w:t>
            </w:r>
            <w:r>
              <w:rPr>
                <w:color w:val="392c69"/>
                <w:sz w:val="24"/>
              </w:rPr>
              <w:t xml:space="preserve">)</w:t>
            </w:r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r/>
            <w:r/>
          </w:p>
        </w:tc>
      </w:tr>
    </w:tbl>
    <w:p>
      <w:pPr>
        <w:pStyle w:val="827"/>
        <w:ind w:firstLine="540"/>
        <w:jc w:val="both"/>
      </w:pPr>
      <w:r>
        <w:rPr>
          <w:sz w:val="24"/>
        </w:rPr>
      </w:r>
      <w:r/>
    </w:p>
    <w:p>
      <w:pPr>
        <w:pStyle w:val="827"/>
        <w:ind w:firstLine="540"/>
        <w:jc w:val="both"/>
      </w:pPr>
      <w:r>
        <w:rPr>
          <w:sz w:val="24"/>
        </w:rPr>
        <w:t xml:space="preserve">1. Настоящий Порядок устанавливает правила изменения государственным или муниципальным заказчиком либо в соответствии с </w:t>
      </w:r>
      <w:r>
        <w:rPr>
          <w:sz w:val="24"/>
        </w:rPr>
        <w:t xml:space="preserve">частями 1</w:t>
      </w:r>
      <w:r>
        <w:rPr>
          <w:sz w:val="24"/>
        </w:rPr>
        <w:t xml:space="preserve"> и </w:t>
      </w:r>
      <w:r>
        <w:rPr>
          <w:sz w:val="24"/>
        </w:rPr>
        <w:t xml:space="preserve">2.1 статьи 15</w:t>
      </w:r>
      <w:r>
        <w:rPr>
          <w:sz w:val="24"/>
        </w:rPr>
        <w:t xml:space="preserve">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(далее - Федеральный закон N 44-ФЗ) бюджетным учреждением,</w:t>
      </w:r>
      <w:r>
        <w:rPr>
          <w:sz w:val="24"/>
        </w:rPr>
        <w:t xml:space="preserve"> государственным, муниципальным унитарным предприятием, осуществляющим закупки (далее - заказчик), цены контракта, предметом которого может быть одновременно подготовка проектной документации и (или) выполнение инженерных изысканий, выполнение работ по стр</w:t>
      </w:r>
      <w:r>
        <w:rPr>
          <w:sz w:val="24"/>
        </w:rPr>
        <w:t xml:space="preserve">оительству, реконструкции и (или) капитальному ремонту объекта капитального строительства (далее - подрядные работы), цены такого контракта, заключаемого с единственным поставщиком (подрядчиком, исполнителем) (далее - контракт), в случаях, предусмотренных </w:t>
      </w:r>
      <w:r>
        <w:rPr>
          <w:sz w:val="24"/>
        </w:rPr>
        <w:t xml:space="preserve">подпунктом "а" пункта 1</w:t>
      </w:r>
      <w:r>
        <w:rPr>
          <w:sz w:val="24"/>
        </w:rPr>
        <w:t xml:space="preserve"> и </w:t>
      </w:r>
      <w:r>
        <w:rPr>
          <w:sz w:val="24"/>
        </w:rPr>
        <w:t xml:space="preserve">пунктом 2 части 62 статьи 112</w:t>
      </w:r>
      <w:r>
        <w:rPr>
          <w:sz w:val="24"/>
        </w:rPr>
        <w:t xml:space="preserve"> Федерального закона N 44-ФЗ.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2. Изменение цены контракта осуществляется после выполнения обязательств по контракту, связанных с подготовкой проектной документации и (или) выполнением инженерных изысканий, а также получения положительного заключения государственной экспертиз</w:t>
      </w:r>
      <w:r>
        <w:rPr>
          <w:sz w:val="24"/>
        </w:rPr>
        <w:t xml:space="preserve">ы проектной документации в части проверки достоверности определения сметной стоимости строительства, реконструкции и (или) капитального ремонта объекта капитального строительства. Изменение цены контракта оформляется дополнительным соглашением к контракту.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3. Изменение цены контракта определяется по формуле </w:t>
      </w:r>
      <w:hyperlink w:tooltip="4. Изменение цены контракта осуществляется по следующей формуле:" w:anchor="P272" w:history="1">
        <w:r>
          <w:rPr>
            <w:color w:val="0000ff"/>
            <w:sz w:val="24"/>
          </w:rPr>
          <w:t xml:space="preserve">пункта 4</w:t>
        </w:r>
      </w:hyperlink>
      <w:r>
        <w:rPr>
          <w:sz w:val="24"/>
        </w:rPr>
        <w:t xml:space="preserve"> настоящего Порядка с применением: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а) официальной статистической информации об индексах цен на продукцию (затраты, услуги) инвестиционного назначения по видам экономической деятельности (строительство), публикуемой Росстатом для соответствующего периода в целом по Российской Федерации, или </w:t>
      </w:r>
      <w:r>
        <w:rPr>
          <w:sz w:val="24"/>
        </w:rPr>
        <w:t xml:space="preserve">индексов фактической инфляции (при наличии), установленных уполномоченными исполнительными органами субъектов Российской Федерации, в случае осуществления закупок за счет средств бюджета субъекта Российской Федерации (далее - индексы фактической инфляции);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б) индексов-дефляторов Минэкономразвития России по строке "Инвестиции в основной капитал (капитальные вложения)", опубликованных в составе прогноза социально-экономического развития Российской Федерации на текущий год, или прогнозных индексов инфляции (</w:t>
      </w:r>
      <w:r>
        <w:rPr>
          <w:sz w:val="24"/>
        </w:rPr>
        <w:t xml:space="preserve">при наличии), установленных уполномоченным исполнительным органом субъекта Российской Федерации, в случае осуществления закупок за счет средств бюджета субъекта Российской Федерации (далее - индексы прогнозной инфляции). Индексы прогнозной инфляции применя</w:t>
      </w:r>
      <w:r>
        <w:rPr>
          <w:sz w:val="24"/>
        </w:rPr>
        <w:t xml:space="preserve">ются для пересчета сметной стоимости строительства из уровня цен на дату утверждения проектной документации, получившей положительное заключение государственной экспертизы проектной документации, в уровень цен соответствующего периода исполнения контракта.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При эт</w:t>
      </w:r>
      <w:r>
        <w:rPr>
          <w:sz w:val="24"/>
        </w:rPr>
        <w:t xml:space="preserve">ом за дату утверждения проектной документации принимается дата последнего месяца квартала, принятого для определения индексов изменения сметной стоимости строительства, размещаемых Минстроем России в федеральном реестре сметных нормативов в соответствии с </w:t>
      </w:r>
      <w:r>
        <w:rPr>
          <w:sz w:val="24"/>
        </w:rPr>
        <w:t xml:space="preserve">Порядком</w:t>
      </w:r>
      <w:r>
        <w:rPr>
          <w:sz w:val="24"/>
        </w:rPr>
        <w:t xml:space="preserve"> формирования и ведения федерального реестра сметных нормативов, утвержденным приказ</w:t>
      </w:r>
      <w:r>
        <w:rPr>
          <w:sz w:val="24"/>
        </w:rPr>
        <w:t xml:space="preserve">ом Минстроя России от 24 октября 2017 г. N 1470/пр (зарегистрирован Минюстом России 14 мая 2018 г., регистрационный N 51079), используемых при формировании сметной документации, определяющей сметную стоимость работ и затрат, включенных в предмет контракта.</w:t>
      </w:r>
      <w:r/>
    </w:p>
    <w:p>
      <w:pPr>
        <w:pStyle w:val="827"/>
        <w:ind w:firstLine="540"/>
        <w:jc w:val="both"/>
        <w:spacing w:before="240"/>
      </w:pPr>
      <w:r/>
      <w:bookmarkStart w:id="272" w:name="P272"/>
      <w:r/>
      <w:bookmarkEnd w:id="272"/>
      <w:r>
        <w:rPr>
          <w:sz w:val="24"/>
        </w:rPr>
        <w:t xml:space="preserve">4. Изменение цены контракта осуществляется по следующей формуле:</w:t>
      </w:r>
      <w:r/>
    </w:p>
    <w:p>
      <w:pPr>
        <w:pStyle w:val="827"/>
        <w:ind w:firstLine="540"/>
        <w:jc w:val="both"/>
      </w:pPr>
      <w:r>
        <w:rPr>
          <w:sz w:val="24"/>
        </w:rPr>
      </w:r>
      <w:r/>
    </w:p>
    <w:p>
      <w:pPr>
        <w:pStyle w:val="827"/>
        <w:jc w:val="both"/>
      </w:pPr>
      <w:r>
        <w:rPr>
          <w:sz w:val="24"/>
        </w:rPr>
        <w:t xml:space="preserve">Ц</w:t>
      </w:r>
      <w:r>
        <w:rPr>
          <w:sz w:val="24"/>
          <w:vertAlign w:val="subscript"/>
        </w:rPr>
        <w:t xml:space="preserve">к</w:t>
      </w:r>
      <w:r>
        <w:rPr>
          <w:sz w:val="24"/>
        </w:rPr>
        <w:t xml:space="preserve"> = ((С</w:t>
      </w:r>
      <w:r>
        <w:rPr>
          <w:sz w:val="24"/>
          <w:vertAlign w:val="subscript"/>
        </w:rPr>
        <w:t xml:space="preserve">ПИР</w:t>
      </w:r>
      <w:r>
        <w:rPr>
          <w:sz w:val="24"/>
        </w:rPr>
        <w:t xml:space="preserve"> / К</w:t>
      </w:r>
      <w:r>
        <w:rPr>
          <w:sz w:val="24"/>
          <w:vertAlign w:val="subscript"/>
        </w:rPr>
        <w:t xml:space="preserve">ф ПИР</w:t>
      </w:r>
      <w:r>
        <w:rPr>
          <w:sz w:val="24"/>
        </w:rPr>
        <w:t xml:space="preserve">) + (С</w:t>
      </w:r>
      <w:r>
        <w:rPr>
          <w:sz w:val="24"/>
          <w:vertAlign w:val="subscript"/>
        </w:rPr>
        <w:t xml:space="preserve">РД</w:t>
      </w:r>
      <w:r>
        <w:rPr>
          <w:sz w:val="24"/>
        </w:rPr>
        <w:t xml:space="preserve"> x К</w:t>
      </w:r>
      <w:r>
        <w:rPr>
          <w:sz w:val="24"/>
          <w:vertAlign w:val="subscript"/>
        </w:rPr>
        <w:t xml:space="preserve">пРД</w:t>
      </w:r>
      <w:r>
        <w:rPr>
          <w:sz w:val="24"/>
        </w:rPr>
        <w:t xml:space="preserve">) + (С</w:t>
      </w:r>
      <w:r>
        <w:rPr>
          <w:sz w:val="24"/>
          <w:vertAlign w:val="subscript"/>
        </w:rPr>
        <w:t xml:space="preserve">СМР1</w:t>
      </w:r>
      <w:r>
        <w:rPr>
          <w:sz w:val="24"/>
        </w:rPr>
        <w:t xml:space="preserve"> x К</w:t>
      </w:r>
      <w:r>
        <w:rPr>
          <w:sz w:val="24"/>
          <w:vertAlign w:val="subscript"/>
        </w:rPr>
        <w:t xml:space="preserve">п СМР</w:t>
      </w:r>
      <w:r>
        <w:rPr>
          <w:sz w:val="24"/>
        </w:rPr>
        <w:t xml:space="preserve">) +</w:t>
      </w:r>
      <w:r/>
    </w:p>
    <w:p>
      <w:pPr>
        <w:pStyle w:val="827"/>
        <w:jc w:val="both"/>
        <w:spacing w:before="240"/>
      </w:pPr>
      <w:r>
        <w:rPr>
          <w:sz w:val="24"/>
        </w:rPr>
        <w:t xml:space="preserve">+ (С</w:t>
      </w:r>
      <w:r>
        <w:rPr>
          <w:sz w:val="24"/>
          <w:vertAlign w:val="subscript"/>
        </w:rPr>
        <w:t xml:space="preserve">СМР2</w:t>
      </w:r>
      <w:r>
        <w:rPr>
          <w:sz w:val="24"/>
        </w:rPr>
        <w:t xml:space="preserve"> / К</w:t>
      </w:r>
      <w:r>
        <w:rPr>
          <w:sz w:val="24"/>
          <w:vertAlign w:val="subscript"/>
        </w:rPr>
        <w:t xml:space="preserve">ф СМР</w:t>
      </w:r>
      <w:r>
        <w:rPr>
          <w:sz w:val="24"/>
        </w:rPr>
        <w:t xml:space="preserve">) + (С</w:t>
      </w:r>
      <w:r>
        <w:rPr>
          <w:sz w:val="24"/>
          <w:vertAlign w:val="subscript"/>
        </w:rPr>
        <w:t xml:space="preserve">обор</w:t>
      </w:r>
      <w:r>
        <w:rPr>
          <w:sz w:val="24"/>
        </w:rPr>
        <w:t xml:space="preserve"> x К</w:t>
      </w:r>
      <w:r>
        <w:rPr>
          <w:sz w:val="24"/>
          <w:vertAlign w:val="subscript"/>
        </w:rPr>
        <w:t xml:space="preserve">п обор</w:t>
      </w:r>
      <w:r>
        <w:rPr>
          <w:sz w:val="24"/>
        </w:rPr>
        <w:t xml:space="preserve">)) x К</w:t>
      </w:r>
      <w:r>
        <w:rPr>
          <w:sz w:val="24"/>
          <w:vertAlign w:val="subscript"/>
        </w:rPr>
        <w:t xml:space="preserve">сниж</w:t>
      </w:r>
      <w:r>
        <w:rPr>
          <w:sz w:val="24"/>
        </w:rPr>
        <w:t xml:space="preserve">,</w:t>
      </w:r>
      <w:r/>
    </w:p>
    <w:p>
      <w:pPr>
        <w:pStyle w:val="827"/>
        <w:ind w:firstLine="540"/>
        <w:jc w:val="both"/>
      </w:pPr>
      <w:r>
        <w:rPr>
          <w:sz w:val="24"/>
        </w:rPr>
      </w:r>
      <w:r/>
    </w:p>
    <w:p>
      <w:pPr>
        <w:pStyle w:val="827"/>
        <w:ind w:firstLine="540"/>
        <w:jc w:val="both"/>
      </w:pPr>
      <w:r>
        <w:rPr>
          <w:sz w:val="24"/>
        </w:rPr>
        <w:t xml:space="preserve">где: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Ц</w:t>
      </w:r>
      <w:r>
        <w:rPr>
          <w:sz w:val="24"/>
          <w:vertAlign w:val="subscript"/>
        </w:rPr>
        <w:t xml:space="preserve">к</w:t>
      </w:r>
      <w:r>
        <w:rPr>
          <w:sz w:val="24"/>
        </w:rPr>
        <w:t xml:space="preserve"> - цена контракта, рублей;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С</w:t>
      </w:r>
      <w:r>
        <w:rPr>
          <w:sz w:val="24"/>
          <w:vertAlign w:val="subscript"/>
        </w:rPr>
        <w:t xml:space="preserve">ПИР</w:t>
      </w:r>
      <w:r>
        <w:rPr>
          <w:sz w:val="24"/>
        </w:rPr>
        <w:t xml:space="preserve"> - сметная стоимость работ по подготовке проектной документации (за исключением стоимости работ по подготовке раб</w:t>
      </w:r>
      <w:r>
        <w:rPr>
          <w:sz w:val="24"/>
        </w:rPr>
        <w:t xml:space="preserve">очей документации) и (или) сметной стоимости изыскательских работ в уровне цен на дату получения положительного заключения государственной экспертизы проектной документации в части проверки достоверности определения сметной стоимости строительства, рублей;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К</w:t>
      </w:r>
      <w:r>
        <w:rPr>
          <w:sz w:val="24"/>
          <w:vertAlign w:val="subscript"/>
        </w:rPr>
        <w:t xml:space="preserve">ф ПИР</w:t>
      </w:r>
      <w:r>
        <w:rPr>
          <w:sz w:val="24"/>
        </w:rPr>
        <w:t xml:space="preserve"> - индекс фактической инфляции работ по подготовке проектной документации (з</w:t>
      </w:r>
      <w:r>
        <w:rPr>
          <w:sz w:val="24"/>
        </w:rPr>
        <w:t xml:space="preserve">а исключением работ по подготовке рабочей документации) и (или) изыскательских работ, рассчитываемый как произведение индекса фактической инфляции, устанавливаемого нарастающим итогом от даты окончания выполнения работ по подготовке проектной документации </w:t>
      </w:r>
      <w:r>
        <w:rPr>
          <w:sz w:val="24"/>
        </w:rPr>
        <w:t xml:space="preserve">и (или) выполнению инженерных изысканий на дату первого месяца квартала, указанного в положительном заключении экспертизы проектной документации в части проверки достоверности определения сметной стоимости строительства, и индекса фактической инфляции, опр</w:t>
      </w:r>
      <w:r>
        <w:rPr>
          <w:sz w:val="24"/>
        </w:rPr>
        <w:t xml:space="preserve">еделенного на середину периода выполнения работ по подготовке проектной документации (за исключением работ по подготовке рабочей документации) и (или) выполнению инженерных изысканий в соответствии со сроками, установленными в контракте при его заключении.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В случае, если период от даты окончания выполнения работ по подготовке проектной документации (за исключением работ по подготовке рабочей документации) и (или) выполнению инженерных изысканий до даты первого месяца кв</w:t>
      </w:r>
      <w:r>
        <w:rPr>
          <w:sz w:val="24"/>
        </w:rPr>
        <w:t xml:space="preserve">артала, указанного в заключении экспертизы проектной документации в части проверки достоверности определения сметной стоимости строительства, составляет менее трех месяцев, то индекс фактической инфляции рассчитывается на середину периода выполнения работ;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С</w:t>
      </w:r>
      <w:r>
        <w:rPr>
          <w:sz w:val="24"/>
          <w:vertAlign w:val="subscript"/>
        </w:rPr>
        <w:t xml:space="preserve">РД</w:t>
      </w:r>
      <w:r>
        <w:rPr>
          <w:sz w:val="24"/>
        </w:rPr>
        <w:t xml:space="preserve"> - стоимость работ по подготовке рабочей документации, рублей;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К</w:t>
      </w:r>
      <w:r>
        <w:rPr>
          <w:sz w:val="24"/>
          <w:vertAlign w:val="subscript"/>
        </w:rPr>
        <w:t xml:space="preserve">пРД</w:t>
      </w:r>
      <w:r>
        <w:rPr>
          <w:sz w:val="24"/>
        </w:rPr>
        <w:t xml:space="preserve"> - индекс прогнозной инфляции работ по подготовке рабочей документации, рассчитываемый аналогично показателю К</w:t>
      </w:r>
      <w:r>
        <w:rPr>
          <w:sz w:val="24"/>
          <w:vertAlign w:val="subscript"/>
        </w:rPr>
        <w:t xml:space="preserve">инфл.пер.</w:t>
      </w:r>
      <w:r>
        <w:rPr>
          <w:sz w:val="24"/>
        </w:rPr>
        <w:t xml:space="preserve"> в соответствии с формулой, приведенной в </w:t>
      </w:r>
      <w:r>
        <w:rPr>
          <w:sz w:val="24"/>
        </w:rPr>
        <w:t xml:space="preserve">подпункте "б" пункта 8</w:t>
      </w:r>
      <w:r>
        <w:rPr>
          <w:sz w:val="24"/>
        </w:rPr>
        <w:t xml:space="preserve"> Порядка определения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 п</w:t>
      </w:r>
      <w:r>
        <w:rPr>
          <w:sz w:val="24"/>
        </w:rPr>
        <w:t xml:space="preserve">ри осуществлении закупок в сфере градостроительной деятельности (за исключением территориального планирования), утвержденного приказом Минстроя России от 23 декабря 2019 г. N 841/пр (зарегистрирован Минюстом России 3 февраля 2020 г., регистрационный N 5740</w:t>
      </w:r>
      <w:r>
        <w:rPr>
          <w:sz w:val="24"/>
        </w:rPr>
        <w:t xml:space="preserve">1), с изменениями, внесенными приказами Минстроя России от 21 июля 2021 г. N 500/пр (зарегистрирован Минюстом России 13 августа 2021 г., регистрационный N 64642), от 7 октября 2021 г. N 728/пр (зарегистрирован Минюстом России 2 декабря 2021 г., регистрацио</w:t>
      </w:r>
      <w:r>
        <w:rPr>
          <w:sz w:val="24"/>
        </w:rPr>
        <w:t xml:space="preserve">нный N 66180), от 25 февраля 2022 г. N 124/пр (зарегистрирован Минюстом России 27 апреля 2022 г., регистрационный N 68345), от 14 июня 2022 г. N 484/пр (зарегистрирован Минюстом России 4 октября 2022 г., регистрационный N 70372) (далее - Порядок N 841/пр).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При этом при расчете показателя К</w:t>
      </w:r>
      <w:r>
        <w:rPr>
          <w:sz w:val="24"/>
          <w:vertAlign w:val="subscript"/>
        </w:rPr>
        <w:t xml:space="preserve">пРД</w:t>
      </w:r>
      <w:r>
        <w:rPr>
          <w:sz w:val="24"/>
        </w:rPr>
        <w:t xml:space="preserve"> показатель "n" рассчитывается как период от даты начала разработки рабочей документации до даты окончания работ по разработке рабочей документации;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С</w:t>
      </w:r>
      <w:r>
        <w:rPr>
          <w:sz w:val="24"/>
          <w:vertAlign w:val="subscript"/>
        </w:rPr>
        <w:t xml:space="preserve">СМР1</w:t>
      </w:r>
      <w:r>
        <w:rPr>
          <w:sz w:val="24"/>
        </w:rPr>
        <w:t xml:space="preserve"> - сметная стоимость подрядных работ (за исключением стоимости выполнения работ по подготовке проектной и рабочей документации, изы</w:t>
      </w:r>
      <w:r>
        <w:rPr>
          <w:sz w:val="24"/>
        </w:rPr>
        <w:t xml:space="preserve">скательских работ, а также стоимости подготовительных работ, подрядных работ (включая стоимость оборудования), не относящихся к подготовительным работам (при строительстве, реконструкции объектов капитального строительства, в отношении которых применяются </w:t>
      </w:r>
      <w:r>
        <w:rPr>
          <w:sz w:val="24"/>
        </w:rPr>
        <w:t xml:space="preserve">особенности</w:t>
      </w:r>
      <w:r>
        <w:rPr>
          <w:sz w:val="24"/>
        </w:rPr>
        <w:t xml:space="preserve"> проведения государственной экспертизы проектной документации объектов капитального строительства, строительство, реконструкция которых осуществляются в рамках реализации проектов (объектов капитального строит</w:t>
      </w:r>
      <w:r>
        <w:rPr>
          <w:sz w:val="24"/>
        </w:rPr>
        <w:t xml:space="preserve">ельства) с особым статусом, необходимых для обеспечения обороноспособности и безопасности государства, объектов капитального строительства, создаваемых для нужд Вооруженных Сил Российской Федерации, объектов капитального строительства, необходимых для обес</w:t>
      </w:r>
      <w:r>
        <w:rPr>
          <w:sz w:val="24"/>
        </w:rPr>
        <w:t xml:space="preserve">печения деятельности объектов государственной охраны, выдачи разрешений на строительство указанных объектов капитального строительства, разрешений на ввод указанных объектов капитального строительства в эксплуатацию, утвержденные постановлением Правительст</w:t>
      </w:r>
      <w:r>
        <w:rPr>
          <w:sz w:val="24"/>
        </w:rPr>
        <w:t xml:space="preserve">ва Российской Федерации от 15 февраля 2023 г. N 223 &lt;*&gt; (далее - особенности реализации проектов (объектов) с особым статусом), выполненных до даты получения положительного заключения государственной экспертизы проектной документации, в части проверки дост</w:t>
      </w:r>
      <w:r>
        <w:rPr>
          <w:sz w:val="24"/>
        </w:rPr>
        <w:t xml:space="preserve">оверности определения сметной стоимости строительства) в уровне цен утвержденной сметной документации, входящей в состав проектной документации объекта капитального строительства, получившей положительное заключение государственной экспертизы. Сметная стои</w:t>
      </w:r>
      <w:r>
        <w:rPr>
          <w:sz w:val="24"/>
        </w:rPr>
        <w:t xml:space="preserve">мость подрядных работ включает в себя затраты на работы и услуги, относящиеся к предмету закупки, предусмотренные сводным сметным расчетом стоимости строительства в составе утвержденной проектной документации, за исключением стоимости оборудования, рублей;</w:t>
      </w:r>
      <w:r/>
    </w:p>
    <w:p>
      <w:pPr>
        <w:pStyle w:val="827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Приказа</w:t>
      </w:r>
      <w:r>
        <w:rPr>
          <w:sz w:val="24"/>
        </w:rPr>
        <w:t xml:space="preserve"> Минстроя России от 17.01.2025 N 18/пр)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--------------------------------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&lt;*&gt; В соответствии с </w:t>
      </w:r>
      <w:r>
        <w:rPr>
          <w:sz w:val="24"/>
        </w:rPr>
        <w:t xml:space="preserve">пунктом 3</w:t>
      </w:r>
      <w:r>
        <w:rPr>
          <w:sz w:val="24"/>
        </w:rPr>
        <w:t xml:space="preserve"> постановления Правительства Российской Федерации от 15 февраля 2023 г. N 22</w:t>
      </w:r>
      <w:r>
        <w:rPr>
          <w:sz w:val="24"/>
        </w:rPr>
        <w:t xml:space="preserve">3 "Об утверждении особенностей проведения государственной экспертизы проектной документации объектов капитального строительства, строительство, реконструкция которых осуществляются в рамках реализации проектов (объектов капитального строительства) с особым</w:t>
      </w:r>
      <w:r>
        <w:rPr>
          <w:sz w:val="24"/>
        </w:rPr>
        <w:t xml:space="preserve"> статусом, необходимых для обеспечения обороноспособности и безопасности государства, объектов капитального строительства, создаваемых для нужд Вооруженных Сил Российской Федерации, объектов капитального строительства, необходимых для обеспечения деятельно</w:t>
      </w:r>
      <w:r>
        <w:rPr>
          <w:sz w:val="24"/>
        </w:rPr>
        <w:t xml:space="preserve">сти объектов государственной охраны, выдачи разрешений на строительство указанных объектов капитального строительства, разрешений на ввод указанных объектов капитального строительства в эксплуатацию" данный акт действует до 31 декабря 2026 г. включительно.</w:t>
      </w:r>
      <w:r/>
    </w:p>
    <w:p>
      <w:pPr>
        <w:pStyle w:val="827"/>
        <w:jc w:val="both"/>
      </w:pPr>
      <w:r>
        <w:rPr>
          <w:sz w:val="24"/>
        </w:rPr>
        <w:t xml:space="preserve">(сноска введена </w:t>
      </w:r>
      <w:r>
        <w:rPr>
          <w:sz w:val="24"/>
        </w:rPr>
        <w:t xml:space="preserve">Приказом</w:t>
      </w:r>
      <w:r>
        <w:rPr>
          <w:sz w:val="24"/>
        </w:rPr>
        <w:t xml:space="preserve"> Минстроя России от 17.01.2025 N 18/пр; в ред. </w:t>
      </w:r>
      <w:r>
        <w:rPr>
          <w:sz w:val="24"/>
        </w:rPr>
        <w:t xml:space="preserve">Приказа</w:t>
      </w:r>
      <w:r>
        <w:rPr>
          <w:sz w:val="24"/>
        </w:rPr>
        <w:t xml:space="preserve"> Минстроя России от 23.01.2026 N 22/пр)</w:t>
      </w:r>
      <w:r/>
    </w:p>
    <w:p>
      <w:pPr>
        <w:pStyle w:val="827"/>
        <w:jc w:val="both"/>
      </w:pPr>
      <w:r>
        <w:rPr>
          <w:sz w:val="24"/>
        </w:rPr>
      </w:r>
      <w:r/>
    </w:p>
    <w:p>
      <w:pPr>
        <w:pStyle w:val="827"/>
        <w:ind w:firstLine="540"/>
        <w:jc w:val="both"/>
      </w:pPr>
      <w:r>
        <w:rPr>
          <w:sz w:val="24"/>
        </w:rPr>
        <w:t xml:space="preserve">С</w:t>
      </w:r>
      <w:r>
        <w:rPr>
          <w:sz w:val="24"/>
          <w:vertAlign w:val="subscript"/>
        </w:rPr>
        <w:t xml:space="preserve">СМР2</w:t>
      </w:r>
      <w:r>
        <w:rPr>
          <w:sz w:val="24"/>
        </w:rPr>
        <w:t xml:space="preserve"> - сметная стоимость подготовительных работ, входящих в </w:t>
      </w:r>
      <w:r>
        <w:rPr>
          <w:sz w:val="24"/>
        </w:rPr>
        <w:t xml:space="preserve">перечень</w:t>
      </w:r>
      <w:r>
        <w:rPr>
          <w:sz w:val="24"/>
        </w:rPr>
        <w:t xml:space="preserve"> видов подготовительных работ, не причиняющих существен</w:t>
      </w:r>
      <w:r>
        <w:rPr>
          <w:sz w:val="24"/>
        </w:rPr>
        <w:t xml:space="preserve">ного вреда окружающей среде и ее компонентам, которые могут выполняться до выдачи разрешения на строительство объекта федерального значения, объекта регионального значения, объекта местного значения, утвержденный постановлением Правительства Российской Фед</w:t>
      </w:r>
      <w:r>
        <w:rPr>
          <w:sz w:val="24"/>
        </w:rPr>
        <w:t xml:space="preserve">ерации от 7 ноября 2020 г. N 1798, а также сметная стоимость подрядных работ (включая стоимость оборудования), не относящихся к подготовительным работам (при строительстве, реконструкции объектов капитального строительства, в отношении которых применяются </w:t>
      </w:r>
      <w:r>
        <w:rPr>
          <w:sz w:val="24"/>
        </w:rPr>
        <w:t xml:space="preserve">особенности</w:t>
      </w:r>
      <w:r>
        <w:rPr>
          <w:sz w:val="24"/>
        </w:rPr>
        <w:t xml:space="preserve"> реализации проектов (объектов) с особым статусом), выполненных до даты получения положительного заключения государственной экспертизы проектной документации в части проверки достоверности определения сметной стоимости строительства, рублей;</w:t>
      </w:r>
      <w:r/>
    </w:p>
    <w:p>
      <w:pPr>
        <w:pStyle w:val="827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Приказа</w:t>
      </w:r>
      <w:r>
        <w:rPr>
          <w:sz w:val="24"/>
        </w:rPr>
        <w:t xml:space="preserve"> Минстроя России от 17.01.2025 N 18/пр)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К</w:t>
      </w:r>
      <w:r>
        <w:rPr>
          <w:sz w:val="24"/>
          <w:vertAlign w:val="subscript"/>
        </w:rPr>
        <w:t xml:space="preserve">п СМР</w:t>
      </w:r>
      <w:r>
        <w:rPr>
          <w:sz w:val="24"/>
        </w:rPr>
        <w:t xml:space="preserve"> - индекс прогнозной инфляции подрядных работ (за исключением затрат на выполнение работ по подгот</w:t>
      </w:r>
      <w:r>
        <w:rPr>
          <w:sz w:val="24"/>
        </w:rPr>
        <w:t xml:space="preserve">овке проектной и рабочей документации, изыскательских работ, подрядных работ (включая стоимость оборудования), не относящихся к подготовительным работам (при строительстве, реконструкции объектов капитального строительства, в отношении которых применяются </w:t>
      </w:r>
      <w:r>
        <w:rPr>
          <w:sz w:val="24"/>
        </w:rPr>
        <w:t xml:space="preserve">особенности</w:t>
      </w:r>
      <w:r>
        <w:rPr>
          <w:sz w:val="24"/>
        </w:rPr>
        <w:t xml:space="preserve"> реализации проек</w:t>
      </w:r>
      <w:r>
        <w:rPr>
          <w:sz w:val="24"/>
        </w:rPr>
        <w:t xml:space="preserve">тов (объектов) с особым статусом), выполненных до даты получения положительного заключения государственной экспертизы проектной документации в части проверки достоверности определения сметной стоимости строительства), рассчитываемый аналогично показателю К</w:t>
      </w:r>
      <w:r>
        <w:rPr>
          <w:sz w:val="24"/>
          <w:vertAlign w:val="subscript"/>
        </w:rPr>
        <w:t xml:space="preserve">инфл.пер.</w:t>
      </w:r>
      <w:r>
        <w:rPr>
          <w:sz w:val="24"/>
        </w:rPr>
        <w:t xml:space="preserve"> в соответствии с формулой, приведенной в </w:t>
      </w:r>
      <w:r>
        <w:rPr>
          <w:sz w:val="24"/>
        </w:rPr>
        <w:t xml:space="preserve">подпункте "б" пункта 8</w:t>
      </w:r>
      <w:r>
        <w:rPr>
          <w:sz w:val="24"/>
        </w:rPr>
        <w:t xml:space="preserve"> Порядка N 841/пр. При этом при расчете показателя К</w:t>
      </w:r>
      <w:r>
        <w:rPr>
          <w:sz w:val="24"/>
          <w:vertAlign w:val="subscript"/>
        </w:rPr>
        <w:t xml:space="preserve">п СМР</w:t>
      </w:r>
      <w:r>
        <w:rPr>
          <w:sz w:val="24"/>
        </w:rPr>
        <w:t xml:space="preserve"> показатель "n" рассчитывается как период от даты утверждения проектной документации, получившей положительное заключение государственной </w:t>
      </w:r>
      <w:r>
        <w:rPr>
          <w:sz w:val="24"/>
        </w:rPr>
        <w:t xml:space="preserve">экспертизы проектной документации, до даты окончания работ в случае, если срок выполнения подрядных работ не превышает календарного года, или до декабря первого года выполнения работ в случае, если срок выполнения подрядных работ превышает календарный год;</w:t>
      </w:r>
      <w:r/>
    </w:p>
    <w:p>
      <w:pPr>
        <w:pStyle w:val="827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Приказа</w:t>
      </w:r>
      <w:r>
        <w:rPr>
          <w:sz w:val="24"/>
        </w:rPr>
        <w:t xml:space="preserve"> Минстроя России от 17.01.2025 N 18/пр)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К</w:t>
      </w:r>
      <w:r>
        <w:rPr>
          <w:sz w:val="24"/>
          <w:vertAlign w:val="subscript"/>
        </w:rPr>
        <w:t xml:space="preserve">ф СМР</w:t>
      </w:r>
      <w:r>
        <w:rPr>
          <w:sz w:val="24"/>
        </w:rPr>
        <w:t xml:space="preserve"> - индекс фактической инфляции подготовительных работ, а также подрядных работ, не относящихся к подготовительным работам (при строительстве, реконструкции объектов капитального строительства, в отношении которых применяются </w:t>
      </w:r>
      <w:r>
        <w:rPr>
          <w:sz w:val="24"/>
        </w:rPr>
        <w:t xml:space="preserve">особенности</w:t>
      </w:r>
      <w:r>
        <w:rPr>
          <w:sz w:val="24"/>
        </w:rPr>
        <w:t xml:space="preserve"> реализации проектов (объектов) с особым статусом), рассчитываемый как произведение индекса фактической инфля</w:t>
      </w:r>
      <w:r>
        <w:rPr>
          <w:sz w:val="24"/>
        </w:rPr>
        <w:t xml:space="preserve">ции, устанавливаемого нарастающим итогом от даты окончания выполнения подготовительных работ, подрядных работ, не относящихся к подготовительным работам (при строительстве, реконструкции объектов капитального строительства, в отношении которых применяются </w:t>
      </w:r>
      <w:r>
        <w:rPr>
          <w:sz w:val="24"/>
        </w:rPr>
        <w:t xml:space="preserve">особенности</w:t>
      </w:r>
      <w:r>
        <w:rPr>
          <w:sz w:val="24"/>
        </w:rPr>
        <w:t xml:space="preserve"> реализации проектов (объектов) с особым статусом) на дату первого месяца квартала, указанного в положительном заключении экспертизы проектной докуме</w:t>
      </w:r>
      <w:r>
        <w:rPr>
          <w:sz w:val="24"/>
        </w:rPr>
        <w:t xml:space="preserve">нтации в части проверки достоверности определения сметной стоимости строительства, и индекса фактической инфляции, определенного на середину периода выполнения подготовительных работ в соответствии со сроками, установленными в контракте при его заключении;</w:t>
      </w:r>
      <w:r/>
    </w:p>
    <w:p>
      <w:pPr>
        <w:pStyle w:val="827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Приказа</w:t>
      </w:r>
      <w:r>
        <w:rPr>
          <w:sz w:val="24"/>
        </w:rPr>
        <w:t xml:space="preserve"> Минстроя России от 17.01.2025 N 18/пр)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С</w:t>
      </w:r>
      <w:r>
        <w:rPr>
          <w:sz w:val="24"/>
          <w:vertAlign w:val="subscript"/>
        </w:rPr>
        <w:t xml:space="preserve">обор</w:t>
      </w:r>
      <w:r>
        <w:rPr>
          <w:sz w:val="24"/>
        </w:rPr>
        <w:t xml:space="preserve"> - стоимость оборудования (при наличии в контракте обязательств по поставке такого оборудован</w:t>
      </w:r>
      <w:r>
        <w:rPr>
          <w:sz w:val="24"/>
        </w:rPr>
        <w:t xml:space="preserve">ия) в уровне цен утвержденной сметной документации, входящей в состав проектной документации объекта капитального строительства, получившей положительное заключение государственной экспертизы (за исключением стоимости оборудования, учтенного в показателе С</w:t>
      </w:r>
      <w:r>
        <w:rPr>
          <w:sz w:val="24"/>
          <w:vertAlign w:val="subscript"/>
        </w:rPr>
        <w:t xml:space="preserve">СМР2</w:t>
      </w:r>
      <w:r>
        <w:rPr>
          <w:sz w:val="24"/>
        </w:rPr>
        <w:t xml:space="preserve">), рублей;</w:t>
      </w:r>
      <w:r/>
    </w:p>
    <w:p>
      <w:pPr>
        <w:pStyle w:val="827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Приказа</w:t>
      </w:r>
      <w:r>
        <w:rPr>
          <w:sz w:val="24"/>
        </w:rPr>
        <w:t xml:space="preserve"> Минстроя России от 17.01.2025 N 18/пр)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К</w:t>
      </w:r>
      <w:r>
        <w:rPr>
          <w:sz w:val="24"/>
          <w:vertAlign w:val="subscript"/>
        </w:rPr>
        <w:t xml:space="preserve">п обор</w:t>
      </w:r>
      <w:r>
        <w:rPr>
          <w:sz w:val="24"/>
        </w:rPr>
        <w:t xml:space="preserve"> - индекс прогнозной инфляции изменения стоимости оборудования (за исключением стоимости оборудования, учтенного в показателе С</w:t>
      </w:r>
      <w:r>
        <w:rPr>
          <w:sz w:val="24"/>
          <w:vertAlign w:val="subscript"/>
        </w:rPr>
        <w:t xml:space="preserve">СМР2</w:t>
      </w:r>
      <w:r>
        <w:rPr>
          <w:sz w:val="24"/>
        </w:rPr>
        <w:t xml:space="preserve">), рассчитываемый в отношении оборудования аналогично порядку расчета индекса прогнозной инфляции, рассчитываемый аналогично показателю К</w:t>
      </w:r>
      <w:r>
        <w:rPr>
          <w:sz w:val="24"/>
          <w:vertAlign w:val="subscript"/>
        </w:rPr>
        <w:t xml:space="preserve">инфл.пер.</w:t>
      </w:r>
      <w:r>
        <w:rPr>
          <w:sz w:val="24"/>
        </w:rPr>
        <w:t xml:space="preserve"> в соответствии с формулой, приведенной в </w:t>
      </w:r>
      <w:r>
        <w:rPr>
          <w:sz w:val="24"/>
        </w:rPr>
        <w:t xml:space="preserve">подпункте "б" пункта 8</w:t>
      </w:r>
      <w:r>
        <w:rPr>
          <w:sz w:val="24"/>
        </w:rPr>
        <w:t xml:space="preserve"> Порядка N 841/пр;</w:t>
      </w:r>
      <w:r/>
    </w:p>
    <w:p>
      <w:pPr>
        <w:pStyle w:val="827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Приказа</w:t>
      </w:r>
      <w:r>
        <w:rPr>
          <w:sz w:val="24"/>
        </w:rPr>
        <w:t xml:space="preserve"> Минстроя России от 17.01.2025 N 18/пр)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К</w:t>
      </w:r>
      <w:r>
        <w:rPr>
          <w:sz w:val="24"/>
          <w:vertAlign w:val="subscript"/>
        </w:rPr>
        <w:t xml:space="preserve">сниж</w:t>
      </w:r>
      <w:r>
        <w:rPr>
          <w:sz w:val="24"/>
        </w:rPr>
        <w:t xml:space="preserve"> - коэффициент снижения начальной (максимальной) цены контракта (при наличии), определенный по результатам закупочных процедур.</w:t>
      </w:r>
      <w:r/>
    </w:p>
    <w:p>
      <w:pPr>
        <w:pStyle w:val="827"/>
        <w:jc w:val="both"/>
      </w:pPr>
      <w:r>
        <w:rPr>
          <w:sz w:val="24"/>
        </w:rPr>
      </w:r>
      <w:r/>
    </w:p>
    <w:p>
      <w:pPr>
        <w:pStyle w:val="827"/>
        <w:jc w:val="both"/>
      </w:pPr>
      <w:r>
        <w:rPr>
          <w:sz w:val="24"/>
        </w:rPr>
      </w:r>
      <w:r/>
    </w:p>
    <w:p>
      <w:pPr>
        <w:pStyle w:val="827"/>
        <w:jc w:val="both"/>
        <w:spacing w:before="100" w:after="100"/>
        <w:rPr>
          <w:sz w:val="2"/>
          <w:szCs w:val="2"/>
        </w:rPr>
        <w:pBdr>
          <w:bottom w:val="single" w:color="000000" w:sz="6" w:space="0"/>
        </w:pBdr>
      </w:pPr>
      <w:r>
        <w:rPr>
          <w:sz w:val="2"/>
          <w:szCs w:val="2"/>
        </w:rPr>
      </w:r>
      <w:r>
        <w:rPr>
          <w:sz w:val="2"/>
          <w:szCs w:val="2"/>
        </w:rPr>
      </w:r>
    </w:p>
    <w:sectPr>
      <w:headerReference w:type="default" r:id="rId8"/>
      <w:headerReference w:type="first" r:id="rId9"/>
      <w:footerReference w:type="default" r:id="rId10"/>
      <w:footerReference w:type="first" r:id="rId11"/>
      <w:footnotePr/>
      <w:endnotePr/>
      <w:type w:val="nextPage"/>
      <w:pgSz w:w="11906" w:h="16838" w:orient="portrait"/>
      <w:pgMar w:top="1440" w:right="566" w:bottom="1440" w:left="1133" w:header="0" w:footer="0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sz w:val="2"/>
        <w:szCs w:val="2"/>
      </w:rPr>
      <w:pBdr>
        <w:bottom w:val="single" w:color="000000" w:sz="12" w:space="0"/>
      </w:pBdr>
    </w:pPr>
    <w:r>
      <w:rPr>
        <w:sz w:val="2"/>
        <w:szCs w:val="2"/>
      </w:rPr>
    </w:r>
    <w:r>
      <w:rPr>
        <w:sz w:val="2"/>
        <w:szCs w:val="2"/>
      </w:rPr>
    </w:r>
  </w:p>
  <w:tbl>
    <w:tblPr>
      <w:tblW w:w="5000" w:type="pct"/>
      <w:tblInd w:w="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>
      <w:tblPrEx/>
      <w:trPr>
        <w:trHeight w:val="1663" w:hRule="exact"/>
      </w:trPr>
      <w:tc>
        <w:tcPr>
          <w:tcW w:w="1650" w:type="pct"/>
          <w:vAlign w:val="center"/>
          <w:textDirection w:val="lrTb"/>
          <w:noWrap w:val="false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</w:rPr>
            <w:t xml:space="preserve">КонсультантПлюс</w:t>
          </w:r>
          <w:r>
            <w:rPr>
              <w:rFonts w:ascii="Tahoma" w:hAnsi="Tahoma" w:cs="Tahoma"/>
              <w:b/>
              <w:sz w:val="16"/>
              <w:szCs w:val="16"/>
            </w:rPr>
            <w:br/>
            <w:t xml:space="preserve">надежная правовая поддержка</w:t>
          </w:r>
          <w:r/>
        </w:p>
      </w:tc>
      <w:tc>
        <w:tcPr>
          <w:tcW w:w="1700" w:type="pct"/>
          <w:vAlign w:val="center"/>
          <w:textDirection w:val="lrTb"/>
          <w:noWrap w:val="false"/>
        </w:tcPr>
        <w:p>
          <w:pPr>
            <w:jc w:val="center"/>
          </w:pPr>
          <w:r/>
          <w:hyperlink r:id="rId1" w:tooltip="https://www.consultant.ru" w:history="1">
            <w:r>
              <w:rPr>
                <w:rFonts w:ascii="Tahoma" w:hAnsi="Tahoma" w:cs="Tahoma"/>
                <w:b/>
                <w:color w:val="0000ff"/>
              </w:rPr>
              <w:t xml:space="preserve">www.consultant.ru</w:t>
            </w:r>
          </w:hyperlink>
          <w:r/>
          <w:r/>
        </w:p>
      </w:tc>
      <w:tc>
        <w:tcPr>
          <w:tcW w:w="1650" w:type="pct"/>
          <w:vAlign w:val="center"/>
          <w:textDirection w:val="lrTb"/>
          <w:noWrap w:val="false"/>
        </w:tcPr>
        <w:p>
          <w:pPr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PAGE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NUMPAGES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/>
        </w:p>
      </w:tc>
    </w:tr>
  </w:tbl>
  <w:p>
    <w:r>
      <w:rPr>
        <w:sz w:val="2"/>
        <w:szCs w:val="2"/>
      </w:rPr>
      <w:t xml:space="preserve">1</w:t>
    </w:r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sz w:val="2"/>
        <w:szCs w:val="2"/>
      </w:rPr>
      <w:pBdr>
        <w:bottom w:val="single" w:color="000000" w:sz="12" w:space="0"/>
      </w:pBdr>
    </w:pPr>
    <w:r>
      <w:rPr>
        <w:sz w:val="2"/>
        <w:szCs w:val="2"/>
      </w:rPr>
    </w:r>
    <w:r>
      <w:rPr>
        <w:sz w:val="2"/>
        <w:szCs w:val="2"/>
      </w:rPr>
    </w:r>
  </w:p>
  <w:tbl>
    <w:tblPr>
      <w:tblW w:w="5000" w:type="pct"/>
      <w:tblInd w:w="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>
      <w:tblPrEx/>
      <w:trPr>
        <w:trHeight w:val="1663" w:hRule="exact"/>
      </w:trPr>
      <w:tc>
        <w:tcPr>
          <w:tcW w:w="1650" w:type="pct"/>
          <w:vAlign w:val="center"/>
          <w:textDirection w:val="lrTb"/>
          <w:noWrap w:val="false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</w:rPr>
            <w:t xml:space="preserve">КонсультантПлюс</w:t>
          </w:r>
          <w:r>
            <w:rPr>
              <w:rFonts w:ascii="Tahoma" w:hAnsi="Tahoma" w:cs="Tahoma"/>
              <w:b/>
              <w:sz w:val="16"/>
              <w:szCs w:val="16"/>
            </w:rPr>
            <w:br/>
            <w:t xml:space="preserve">надежная правовая поддержка</w:t>
          </w:r>
          <w:r/>
        </w:p>
      </w:tc>
      <w:tc>
        <w:tcPr>
          <w:tcW w:w="1700" w:type="pct"/>
          <w:vAlign w:val="center"/>
          <w:textDirection w:val="lrTb"/>
          <w:noWrap w:val="false"/>
        </w:tcPr>
        <w:p>
          <w:pPr>
            <w:jc w:val="center"/>
          </w:pPr>
          <w:r/>
          <w:hyperlink r:id="rId1" w:tooltip="https://www.consultant.ru" w:history="1">
            <w:r>
              <w:rPr>
                <w:rFonts w:ascii="Tahoma" w:hAnsi="Tahoma" w:cs="Tahoma"/>
                <w:b/>
                <w:color w:val="0000ff"/>
              </w:rPr>
              <w:t xml:space="preserve">www.consultant.ru</w:t>
            </w:r>
          </w:hyperlink>
          <w:r/>
          <w:r/>
        </w:p>
      </w:tc>
      <w:tc>
        <w:tcPr>
          <w:tcW w:w="1650" w:type="pct"/>
          <w:vAlign w:val="center"/>
          <w:textDirection w:val="lrTb"/>
          <w:noWrap w:val="false"/>
        </w:tcPr>
        <w:p>
          <w:pPr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PAGE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NUMPAGES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/>
        </w:p>
      </w:tc>
    </w:tr>
  </w:tbl>
  <w:p>
    <w:r>
      <w:rPr>
        <w:sz w:val="2"/>
        <w:szCs w:val="2"/>
      </w:rPr>
      <w:t xml:space="preserve">1</w:t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5000" w:type="pct"/>
      <w:tblInd w:w="0" w:type="dxa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>
      <w:tblPrEx/>
      <w:trPr>
        <w:trHeight w:val="1683" w:hRule="exact"/>
      </w:trPr>
      <w:tc>
        <w:tcPr>
          <w:tcW w:w="2700" w:type="pct"/>
          <w:vAlign w:val="center"/>
          <w:textDirection w:val="lrTb"/>
          <w:noWrap w:val="false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Приказ Минстроя России от 21.08.2023 N 604/пр</w:t>
            <w:br/>
            <w:t xml:space="preserve">(ред. от 23.01.2026)</w:t>
            <w:br/>
            <w:t xml:space="preserve">"Об утверждении порядка определения начальной (максим...</w:t>
          </w:r>
          <w:r>
            <w:rPr>
              <w:rFonts w:ascii="Tahoma" w:hAnsi="Tahoma" w:cs="Tahoma"/>
            </w:rPr>
          </w:r>
        </w:p>
      </w:tc>
      <w:tc>
        <w:tcPr>
          <w:tcW w:w="2300" w:type="pct"/>
          <w:vAlign w:val="center"/>
          <w:textDirection w:val="lrTb"/>
          <w:noWrap w:val="false"/>
        </w:tcPr>
        <w:p>
          <w:pPr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сохранения: 26.06.2026</w:t>
          </w:r>
          <w:r>
            <w:rPr>
              <w:rFonts w:ascii="Tahoma" w:hAnsi="Tahoma" w:cs="Tahoma"/>
            </w:rPr>
          </w:r>
        </w:p>
      </w:tc>
    </w:tr>
  </w:tbl>
  <w:p>
    <w:pPr>
      <w:rPr>
        <w:sz w:val="2"/>
        <w:szCs w:val="2"/>
      </w:rPr>
      <w:pBdr>
        <w:bottom w:val="single" w:color="000000" w:sz="12" w:space="0"/>
      </w:pBdr>
    </w:pPr>
    <w:r>
      <w:rPr>
        <w:sz w:val="2"/>
        <w:szCs w:val="2"/>
      </w:rPr>
    </w:r>
    <w:r>
      <w:rPr>
        <w:sz w:val="2"/>
        <w:szCs w:val="2"/>
      </w:rPr>
    </w:r>
  </w:p>
  <w:p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5000" w:type="pct"/>
      <w:tblInd w:w="0" w:type="dxa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>
      <w:tblPrEx/>
      <w:trPr>
        <w:trHeight w:val="1683" w:hRule="exact"/>
      </w:trPr>
      <w:tc>
        <w:tcPr>
          <w:tcW w:w="2700" w:type="pct"/>
          <w:vAlign w:val="center"/>
          <w:textDirection w:val="lrTb"/>
          <w:noWrap w:val="false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Приказ Минстроя России от 21.08.2023 N 604/пр</w:t>
            <w:br/>
            <w:t xml:space="preserve">(ред. от 23.01.2026)</w:t>
            <w:br/>
            <w:t xml:space="preserve">"Об утверждении порядка определения начальной (максим...</w:t>
          </w:r>
          <w:r>
            <w:rPr>
              <w:rFonts w:ascii="Tahoma" w:hAnsi="Tahoma" w:cs="Tahoma"/>
            </w:rPr>
          </w:r>
        </w:p>
      </w:tc>
      <w:tc>
        <w:tcPr>
          <w:tcW w:w="2300" w:type="pct"/>
          <w:vAlign w:val="center"/>
          <w:textDirection w:val="lrTb"/>
          <w:noWrap w:val="false"/>
        </w:tcPr>
        <w:p>
          <w:pPr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сохранения: 26.06.2026</w:t>
          </w:r>
          <w:r>
            <w:rPr>
              <w:rFonts w:ascii="Tahoma" w:hAnsi="Tahoma" w:cs="Tahoma"/>
            </w:rPr>
          </w:r>
        </w:p>
      </w:tc>
    </w:tr>
  </w:tbl>
  <w:p>
    <w:pPr>
      <w:rPr>
        <w:sz w:val="2"/>
        <w:szCs w:val="2"/>
      </w:rPr>
      <w:pBdr>
        <w:bottom w:val="single" w:color="000000" w:sz="12" w:space="0"/>
      </w:pBdr>
    </w:pPr>
    <w:r>
      <w:rPr>
        <w:sz w:val="2"/>
        <w:szCs w:val="2"/>
      </w:rPr>
    </w:r>
    <w:r>
      <w:rPr>
        <w:sz w:val="2"/>
        <w:szCs w:val="2"/>
      </w:rPr>
    </w:r>
  </w:p>
  <w:p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0">
    <w:name w:val="Normal"/>
    <w:qFormat/>
  </w:style>
  <w:style w:type="paragraph" w:styleId="13">
    <w:name w:val="Heading 1"/>
    <w:basedOn w:val="10"/>
    <w:next w:val="10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10"/>
    <w:next w:val="10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10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10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10"/>
    <w:next w:val="1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10"/>
    <w:next w:val="10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10"/>
    <w:next w:val="10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10"/>
    <w:next w:val="10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10"/>
    <w:next w:val="10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10"/>
    <w:next w:val="10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10"/>
    <w:next w:val="10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10"/>
    <w:next w:val="10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10"/>
    <w:next w:val="10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10"/>
    <w:next w:val="10"/>
    <w:uiPriority w:val="99"/>
    <w:unhideWhenUsed/>
    <w:pPr>
      <w:spacing w:after="0" w:afterAutospacing="0"/>
    </w:pPr>
  </w:style>
  <w:style w:type="paragraph" w:styleId="827" w:default="1" w:customStyle="1">
    <w:name w:val="ConsPlusNormal"/>
    <w:pPr>
      <w:widowControl w:val="off"/>
    </w:pPr>
    <w:rPr>
      <w:rFonts w:ascii="Times New Roman" w:hAnsi="Times New Roman" w:cs="Times New Roman"/>
      <w:sz w:val="24"/>
      <w:lang w:val="ru-RU" w:eastAsia="ru-RU" w:bidi="ar-SA"/>
    </w:rPr>
  </w:style>
  <w:style w:type="paragraph" w:styleId="828" w:customStyle="1">
    <w:name w:val="ConsPlusNonformat"/>
    <w:pPr>
      <w:widowControl w:val="off"/>
    </w:pPr>
    <w:rPr>
      <w:rFonts w:ascii="Courier New" w:hAnsi="Courier New" w:cs="Courier New"/>
      <w:sz w:val="20"/>
      <w:lang w:val="ru-RU" w:eastAsia="ru-RU" w:bidi="ar-SA"/>
    </w:rPr>
  </w:style>
  <w:style w:type="paragraph" w:styleId="829" w:customStyle="1">
    <w:name w:val="ConsPlusTitle"/>
    <w:pPr>
      <w:widowControl w:val="off"/>
    </w:pPr>
    <w:rPr>
      <w:rFonts w:ascii="Arial" w:hAnsi="Arial" w:cs="Arial"/>
      <w:b/>
      <w:sz w:val="24"/>
      <w:lang w:val="ru-RU" w:eastAsia="ru-RU" w:bidi="ar-SA"/>
    </w:rPr>
  </w:style>
  <w:style w:type="paragraph" w:styleId="830" w:customStyle="1">
    <w:name w:val="ConsPlusCell"/>
    <w:pPr>
      <w:widowControl w:val="off"/>
    </w:pPr>
    <w:rPr>
      <w:rFonts w:ascii="Courier New" w:hAnsi="Courier New" w:cs="Courier New"/>
      <w:sz w:val="20"/>
      <w:lang w:val="ru-RU" w:eastAsia="ru-RU" w:bidi="ar-SA"/>
    </w:rPr>
  </w:style>
  <w:style w:type="paragraph" w:styleId="831" w:customStyle="1">
    <w:name w:val="ConsPlusDocList"/>
    <w:pPr>
      <w:widowControl w:val="off"/>
    </w:pPr>
    <w:rPr>
      <w:rFonts w:ascii="Tahoma" w:hAnsi="Tahoma" w:cs="Tahoma"/>
      <w:sz w:val="18"/>
      <w:lang w:val="ru-RU" w:eastAsia="ru-RU" w:bidi="ar-SA"/>
    </w:rPr>
  </w:style>
  <w:style w:type="paragraph" w:styleId="832" w:customStyle="1">
    <w:name w:val="ConsPlusTitlePage"/>
    <w:pPr>
      <w:widowControl w:val="off"/>
    </w:pPr>
    <w:rPr>
      <w:rFonts w:ascii="Tahoma" w:hAnsi="Tahoma" w:cs="Tahoma"/>
      <w:sz w:val="20"/>
      <w:lang w:val="ru-RU" w:eastAsia="ru-RU" w:bidi="ar-SA"/>
    </w:rPr>
  </w:style>
  <w:style w:type="paragraph" w:styleId="833" w:customStyle="1">
    <w:name w:val="ConsPlusJurTerm"/>
    <w:pPr>
      <w:widowControl w:val="off"/>
    </w:pPr>
    <w:rPr>
      <w:rFonts w:ascii="Tahoma" w:hAnsi="Tahoma" w:cs="Tahoma"/>
      <w:sz w:val="26"/>
      <w:lang w:val="ru-RU" w:eastAsia="ru-RU" w:bidi="ar-SA"/>
    </w:rPr>
  </w:style>
  <w:style w:type="paragraph" w:styleId="834" w:customStyle="1">
    <w:name w:val="ConsPlusTextList"/>
    <w:pPr>
      <w:widowControl w:val="off"/>
    </w:pPr>
    <w:rPr>
      <w:rFonts w:ascii="Times New Roman" w:hAnsi="Times New Roman" w:cs="Times New Roman"/>
      <w:sz w:val="24"/>
      <w:lang w:val="ru-RU" w:eastAsia="ru-RU" w:bidi="ar-SA"/>
    </w:rPr>
  </w:style>
  <w:style w:type="paragraph" w:styleId="835" w:customStyle="1">
    <w:name w:val="ConsPlusTextList"/>
    <w:pPr>
      <w:widowControl w:val="off"/>
    </w:pPr>
    <w:rPr>
      <w:rFonts w:ascii="Times New Roman" w:hAnsi="Times New Roman" w:cs="Times New Roman"/>
      <w:sz w:val="24"/>
      <w:lang w:val="ru-RU" w:eastAsia="ru-RU" w:bidi="ar-SA"/>
    </w:rPr>
  </w:style>
  <w:style w:type="character" w:styleId="2904" w:default="1">
    <w:name w:val="Default Paragraph Font"/>
    <w:uiPriority w:val="1"/>
    <w:semiHidden/>
    <w:unhideWhenUsed/>
  </w:style>
  <w:style w:type="numbering" w:styleId="2905" w:default="1">
    <w:name w:val="No List"/>
    <w:uiPriority w:val="99"/>
    <w:semiHidden/>
    <w:unhideWhenUsed/>
  </w:style>
  <w:style w:type="table" w:styleId="290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image" Target="media/image1.png"/><Relationship Id="rId13" Type="http://schemas.openxmlformats.org/officeDocument/2006/relationships/hyperlink" Target="https://www.consultant.ru" TargetMode="External"/><Relationship Id="rId14" Type="http://schemas.openxmlformats.org/officeDocument/2006/relationships/hyperlink" Target="https://www.consultant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>КонсультантПлюс Версия 4025.00.50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Минстроя России от 21.08.2023 N 604/пр
(ред. от 23.01.2026)
"Об утверждении порядка определения начальной (максимальной) цены контракта, предметом которого может быть одновременно подготовка проектной документации и (или) выполнение инженерных изысканий, выполнение работ по строительству, реконструкции и (или) капитальному ремонту объекта капитального строительства, цены такого контракта, заключаемого с единственным поставщиком (подрядчиком, исполнителем), методики составления сметы такого контракта </dc:title>
  <cp:revision>1</cp:revision>
  <dcterms:created xsi:type="dcterms:W3CDTF">2026-06-26T08:50:33Z</dcterms:created>
  <dcterms:modified xsi:type="dcterms:W3CDTF">2026-06-26T08:51:52Z</dcterms:modified>
</cp:coreProperties>
</file>