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/>
        <w:ind w:left="709"/>
        <w:jc w:val="center"/>
        <w:rPr>
          <w:rFonts w:cstheme="minorHAnsi"/>
          <w:b/>
          <w:color w:val="4472c4" w:themeColor="accent1"/>
          <w:sz w:val="28"/>
        </w:rPr>
      </w:pPr>
      <w:r>
        <w:rPr>
          <w:rFonts w:cstheme="minorHAnsi"/>
          <w:b/>
          <w:color w:val="4472c4" w:themeColor="accent1"/>
          <w:sz w:val="28"/>
        </w:rPr>
        <w:t xml:space="preserve">СОСТАВ ОБНОВЛЕНИЙ РИС ЗАКУПКИ ПК ОТ </w:t>
      </w:r>
      <w:r>
        <w:rPr>
          <w:rFonts w:cstheme="minorHAnsi"/>
          <w:b/>
          <w:color w:val="4472c4" w:themeColor="accent1"/>
          <w:sz w:val="28"/>
        </w:rPr>
        <w:t xml:space="preserve">30.06.2026</w:t>
      </w:r>
      <w:r>
        <w:rPr>
          <w:rFonts w:cstheme="minorHAnsi"/>
          <w:b/>
          <w:color w:val="4472c4" w:themeColor="accent1"/>
          <w:sz w:val="28"/>
        </w:rPr>
        <w:t xml:space="preserve"> г.</w:t>
      </w:r>
    </w:p>
    <w:p>
      <w:pPr>
        <w:pStyle w:val="3"/>
        <w:spacing w:before="24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</w:t>
      </w:r>
      <w:r>
        <w:rPr>
          <w:rFonts w:asciiTheme="minorHAnsi" w:hAnsiTheme="minorHAnsi" w:cstheme="minorHAnsi"/>
        </w:rPr>
        <w:t xml:space="preserve"> 44-ФЗ</w:t>
      </w:r>
      <w:r>
        <w:rPr>
          <w:rFonts w:asciiTheme="minorHAnsi" w:hAnsiTheme="minorHAnsi" w:cstheme="minorHAnsi"/>
        </w:rPr>
        <w:t xml:space="preserve">»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Внесены изменения в порядок осуществления закупок у единственного поставщика по следующим основаниям: </w:t>
      </w:r>
    </w:p>
    <w:p>
      <w:pPr>
        <w:pStyle w:val="aff5"/>
        <w:numPr>
          <w:numId w:val="3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п. 23 ч.1 ст. 93 44-ФЗ – контракты по данному основанию с 01.07.2026 г. подлежат регистрации в ЕИС (с размещением в открытой части ЕИС). В связи с этим для выбора в лоте </w:t>
      </w:r>
      <w:r>
        <w:rPr>
          <w:rFonts w:cstheme="minorHAnsi"/>
          <w:sz w:val="24"/>
          <w:szCs w:val="24"/>
          <w:u w:val="single"/>
        </w:rPr>
        <w:t xml:space="preserve">добавлено новое основание закупки у единственного поставщика</w:t>
      </w:r>
      <w:r>
        <w:rPr>
          <w:rFonts w:cstheme="minorHAnsi"/>
          <w:sz w:val="24"/>
          <w:szCs w:val="24"/>
        </w:rPr>
        <w:t xml:space="preserve"> «23. </w:t>
      </w:r>
      <w:r>
        <w:rPr>
          <w:rFonts w:cstheme="minorHAnsi"/>
          <w:sz w:val="24"/>
          <w:szCs w:val="24"/>
        </w:rPr>
        <w:t xml:space="preserve">Услуги содержания, ремонта и обслуживания НЖП в безвозмездном пользовании или оперативном управлении заказчика </w:t>
      </w:r>
      <w:r>
        <w:rPr>
          <w:rFonts w:cstheme="minorHAnsi"/>
          <w:sz w:val="24"/>
          <w:szCs w:val="24"/>
          <w:u w:val="single"/>
        </w:rPr>
        <w:t xml:space="preserve">(регистрируется в ЕИС)</w:t>
      </w:r>
      <w:r>
        <w:rPr>
          <w:rFonts w:cstheme="minorHAnsi"/>
          <w:sz w:val="24"/>
          <w:szCs w:val="24"/>
        </w:rPr>
        <w:t xml:space="preserve">»</w:t>
      </w:r>
      <w:r>
        <w:rPr>
          <w:rFonts w:cstheme="minorHAnsi"/>
          <w:sz w:val="24"/>
          <w:szCs w:val="24"/>
        </w:rPr>
        <w:t xml:space="preserve">. Начиная с 01.07.2026 г., для планирования закупок и заключения контрактов на основании п. 23 ч.1 ст.93 44-ФЗ в поле «Основание закупки у единственного поставщика» необходимо выбирать новое основание. По данному основанию из одного лота доступно формирование нескольких контрактов (т.е. сведения о спецификациях заполняются в карточке контракта);</w:t>
      </w:r>
    </w:p>
    <w:p>
      <w:pPr>
        <w:pStyle w:val="aff5"/>
        <w:numPr>
          <w:numId w:val="3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п.  44 ч.1 ст. 93 44-ФЗ – контракты по данному основанию с 01.07.2026 г. подлежат регистрации в ЕИС (с размещением в открытой части ЕИС). При выборе соответствующего основания закупки у единственного поставщика в карточке лота, контракт на его основе будет подлежать регистрации в ЕИС; </w:t>
      </w:r>
    </w:p>
    <w:p>
      <w:pPr>
        <w:pStyle w:val="aff5"/>
        <w:numPr>
          <w:numId w:val="3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пп</w:t>
      </w:r>
      <w:r>
        <w:rPr>
          <w:rFonts w:cstheme="minorHAnsi"/>
          <w:sz w:val="24"/>
          <w:szCs w:val="24"/>
        </w:rPr>
        <w:t xml:space="preserve">.  42 и 63 ч.1 ст. 93 44-ФЗ – контракты по данным основаниям с 01.07.2026 г. подлежат регистрации в ЕИС, но без размещения в открытой части ЕИС. При выборе соответствующего основания закупки у единственного поставщика в карточке лота, контракт на его основе будет подлежать регистрации в ЕИС без размещения информации о контракте в открытой части ЕИС. 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лота по 44-ФЗ и спецификации лота по 44-ФЗ в поле «Адрес поставки» реализована возможность поиска.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лотов</w:t>
      </w:r>
      <w:r>
        <w:rPr>
          <w:rFonts w:cstheme="minorHAnsi"/>
          <w:sz w:val="24"/>
          <w:szCs w:val="24"/>
        </w:rPr>
        <w:t xml:space="preserve"> по 44-ФЗ</w:t>
      </w:r>
      <w:r>
        <w:rPr>
          <w:rFonts w:cstheme="minorHAnsi"/>
          <w:sz w:val="24"/>
          <w:szCs w:val="24"/>
        </w:rPr>
        <w:t xml:space="preserve"> на закупку у единственного поставщика п</w:t>
      </w:r>
      <w:r>
        <w:rPr>
          <w:rFonts w:cstheme="minorHAnsi"/>
          <w:sz w:val="24"/>
          <w:szCs w:val="24"/>
        </w:rPr>
        <w:t xml:space="preserve">о действию «Сформировать контракт» реализован контроль</w:t>
      </w:r>
      <w:r>
        <w:rPr>
          <w:rFonts w:cstheme="minorHAnsi"/>
          <w:sz w:val="24"/>
          <w:szCs w:val="24"/>
        </w:rPr>
        <w:t xml:space="preserve"> на </w:t>
      </w:r>
      <w:r>
        <w:rPr>
          <w:rFonts w:cstheme="minorHAnsi"/>
          <w:sz w:val="24"/>
          <w:szCs w:val="24"/>
        </w:rPr>
        <w:t xml:space="preserve">невозможность указания разных адресов поставки.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Если в лоте в поле «Поставка по разным адресам» установлено значение «Нет», то Системой будет выдано сообщение об ошибке. </w:t>
      </w:r>
    </w:p>
    <w:p>
      <w:pPr>
        <w:pStyle w:val="aff5"/>
        <w:spacing w:after="120" w:line="36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Указание разных адресов поставки возможно для конкурентных закупок, а для закупок у единственного поставщика только при формировании электронного контракта в структурированном виде. Если для закупки у единственного поставщика без электронного контракта в структурированном виде, согласно условиям контракта, предполагается поставка по нескольким адресам, то в адресе поставки необходимо указывать один адрес «В соответствии с ТЗ».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лота </w:t>
      </w:r>
      <w:r>
        <w:rPr>
          <w:rFonts w:cstheme="minorHAnsi"/>
          <w:sz w:val="24"/>
          <w:szCs w:val="24"/>
        </w:rPr>
        <w:t xml:space="preserve">по 44-ФЗ </w:t>
      </w:r>
      <w:r>
        <w:rPr>
          <w:rFonts w:cstheme="minorHAnsi"/>
          <w:sz w:val="24"/>
          <w:szCs w:val="24"/>
        </w:rPr>
        <w:t xml:space="preserve">реализован контроль на корректность указания адресов поставки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если в поле «Поставка по разным адресам» установлено значение «Да»</w:t>
      </w:r>
      <w:r>
        <w:rPr>
          <w:rFonts w:cstheme="minorHAnsi"/>
          <w:sz w:val="24"/>
          <w:szCs w:val="24"/>
        </w:rPr>
        <w:t xml:space="preserve">, то в спецификациях лота должно быть указано, как минимум, два разных адреса поставки. Если во всех спецификациях лота указан один адрес, то Системой будет выдано сообщение об ошибке.  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В </w:t>
      </w:r>
      <w:r>
        <w:rPr>
          <w:rFonts w:cstheme="minorHAnsi"/>
          <w:sz w:val="24"/>
          <w:szCs w:val="24"/>
        </w:rPr>
        <w:t xml:space="preserve">блоке «Финансирование» карточки лота по 44-ФЗ реализовано отображение кода поступлений для источников финансирования</w:t>
      </w:r>
      <w:r>
        <w:rPr>
          <w:rFonts w:cstheme="minorHAnsi"/>
          <w:sz w:val="24"/>
          <w:szCs w:val="24"/>
        </w:rPr>
        <w:t xml:space="preserve">. Код поступлений (при его наличии у источника финансирования) отображается для автономных и бюджетных учреждений, которые обслуживаются в Федеральном казначействе.</w:t>
      </w:r>
    </w:p>
    <w:p>
      <w:pPr>
        <w:spacing w:after="120" w:line="360" w:lineRule="auto"/>
        <w:ind w:left="709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5.</w:t>
      </w:r>
      <w:r>
        <w:rPr>
          <w:rFonts w:cstheme="minorHAnsi"/>
          <w:i/>
          <w:iCs/>
          <w:sz w:val="24"/>
          <w:szCs w:val="24"/>
        </w:rPr>
        <w:t xml:space="preserve">2</w:t>
      </w:r>
      <w:r>
        <w:rPr>
          <w:rFonts w:cstheme="minorHAnsi"/>
          <w:i/>
          <w:iCs/>
          <w:sz w:val="24"/>
          <w:szCs w:val="24"/>
        </w:rPr>
        <w:t xml:space="preserve">.3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</w:t>
      </w:r>
      <w:r>
        <w:rPr>
          <w:rFonts w:cstheme="minorHAnsi"/>
          <w:i/>
          <w:iCs/>
          <w:sz w:val="24"/>
          <w:szCs w:val="24"/>
        </w:rPr>
        <w:t xml:space="preserve">Планирование </w:t>
      </w:r>
      <w:r>
        <w:rPr>
          <w:rFonts w:cstheme="minorHAnsi"/>
          <w:i/>
          <w:iCs/>
          <w:sz w:val="24"/>
          <w:szCs w:val="24"/>
        </w:rPr>
        <w:t xml:space="preserve">от 30.06.2026 г.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 223-ФЗ»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спецификации лота по 223-ФЗ в поле «Адрес поставки» реализована возможность поиска.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«Осуществление закупок 44-ФЗ»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организаций, у которых в карточке организации справочника «Заказчики» в поле «Выгрузка в ЕИС информации о наличии источников финансирования, относящихся к федеральным средствам» установлено значение «Да, в составе данных извещения о закупке, электронного контракта и контракта реализована возможность отправки типа финансирования «Федеральные средства»</w:t>
      </w:r>
      <w:r>
        <w:rPr>
          <w:rFonts w:cstheme="minorHAnsi"/>
          <w:sz w:val="24"/>
          <w:szCs w:val="24"/>
        </w:rPr>
        <w:t xml:space="preserve">.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контрактов 44-ФЗ»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bookmarkStart w:id="0" w:name="_Toc229737615"/>
      <w:bookmarkStart w:id="1" w:name="_Ref230017716"/>
      <w:r>
        <w:rPr>
          <w:rFonts w:cstheme="minorHAnsi"/>
          <w:sz w:val="24"/>
          <w:szCs w:val="24"/>
        </w:rPr>
        <w:t xml:space="preserve">В карточке электронного контракта в структурированном виде </w:t>
      </w:r>
      <w:r>
        <w:rPr>
          <w:rFonts w:cstheme="minorHAnsi"/>
          <w:sz w:val="24"/>
          <w:szCs w:val="24"/>
        </w:rPr>
        <w:t xml:space="preserve">вместо блока «Реквизиты поставщика» </w:t>
      </w:r>
      <w:r>
        <w:rPr>
          <w:rFonts w:cstheme="minorHAnsi"/>
          <w:sz w:val="24"/>
          <w:szCs w:val="24"/>
        </w:rPr>
        <w:t xml:space="preserve">добавлен блок «Реквизиты и получатели платежей»</w:t>
      </w:r>
      <w:r>
        <w:rPr>
          <w:rFonts w:cstheme="minorHAnsi"/>
          <w:sz w:val="24"/>
          <w:szCs w:val="24"/>
        </w:rPr>
        <w:t xml:space="preserve">, аналогичный карточке контракта. В блоке предусмотрена возможность</w:t>
      </w:r>
      <w:r>
        <w:rPr>
          <w:rFonts w:cstheme="minorHAnsi"/>
          <w:sz w:val="24"/>
          <w:szCs w:val="24"/>
        </w:rPr>
        <w:t xml:space="preserve"> указания реквизитов нескольких получателей платежей</w:t>
      </w:r>
      <w:r>
        <w:rPr>
          <w:rFonts w:cstheme="minorHAnsi"/>
          <w:sz w:val="24"/>
          <w:szCs w:val="24"/>
        </w:rPr>
        <w:t xml:space="preserve">, в том числе контрагентов для уплаты </w:t>
      </w:r>
      <w:r>
        <w:rPr>
          <w:rFonts w:cstheme="minorHAnsi"/>
          <w:sz w:val="24"/>
          <w:szCs w:val="24"/>
        </w:rPr>
        <w:t xml:space="preserve">налогов и неустоек (штрафов, пеней). В карточке этапа электронного контракта реализована возможность </w:t>
      </w:r>
      <w:r>
        <w:rPr>
          <w:rFonts w:cstheme="minorHAnsi"/>
          <w:sz w:val="24"/>
          <w:szCs w:val="24"/>
        </w:rPr>
        <w:t xml:space="preserve">выбора получателя для каждого платежа по этапу</w:t>
      </w:r>
      <w:bookmarkEnd w:id="0"/>
      <w:bookmarkEnd w:id="1"/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Введенные в карточке электронного контракта данные о получателях платежей будут автоматически перенесены в контракт при его формировании из электронного контракта.</w:t>
      </w:r>
    </w:p>
    <w:p>
      <w:pPr>
        <w:pStyle w:val="aff5"/>
        <w:spacing w:after="120" w:line="36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</w:t>
      </w:r>
      <w:r>
        <w:rPr>
          <w:rFonts w:cstheme="minorHAnsi"/>
          <w:sz w:val="24"/>
          <w:szCs w:val="24"/>
        </w:rPr>
        <w:t xml:space="preserve">, что при формировании электронного контракта необходимо сразу указывать всех получателей платежей и все планируемые платежи по контракту.  </w:t>
      </w:r>
      <w:r>
        <w:rPr>
          <w:rFonts w:cstheme="minorHAnsi"/>
          <w:sz w:val="24"/>
          <w:szCs w:val="24"/>
        </w:rPr>
        <w:t xml:space="preserve"> </w:t>
      </w:r>
    </w:p>
    <w:p>
      <w:pPr>
        <w:spacing w:after="120" w:line="360" w:lineRule="auto"/>
        <w:ind w:left="709"/>
        <w:jc w:val="both"/>
        <w:rPr>
          <w:rFonts w:cstheme="minorHAnsi"/>
          <w:sz w:val="24"/>
          <w:szCs w:val="24"/>
        </w:rPr>
      </w:pPr>
      <w:bookmarkStart w:id="2" w:name="_Toc229737617"/>
      <w:bookmarkStart w:id="3" w:name="_Ref230017699"/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5.3.3.3.6</w:t>
      </w:r>
      <w:r>
        <w:rPr>
          <w:rFonts w:cstheme="minorHAnsi"/>
          <w:i/>
          <w:iCs/>
          <w:sz w:val="24"/>
          <w:szCs w:val="24"/>
        </w:rPr>
        <w:t xml:space="preserve">,</w:t>
      </w:r>
      <w:r>
        <w:rPr>
          <w:rFonts w:cstheme="minorHAnsi"/>
          <w:i/>
          <w:iCs/>
          <w:sz w:val="24"/>
          <w:szCs w:val="24"/>
        </w:rPr>
        <w:t xml:space="preserve"> п.5.3.3.3.13.3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инструкции по подсистеме Реестр контрактов от 30.06.2026 г.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</w:t>
      </w: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 спецификации электронного контракта в структурированном виде</w:t>
      </w:r>
      <w:r>
        <w:rPr>
          <w:rFonts w:cstheme="minorHAnsi"/>
          <w:sz w:val="24"/>
          <w:szCs w:val="24"/>
        </w:rPr>
        <w:t xml:space="preserve"> реализована возможность заполнения данных о требованиях национального режима и </w:t>
      </w:r>
      <w:r>
        <w:rPr>
          <w:rFonts w:cstheme="minorHAnsi"/>
          <w:sz w:val="24"/>
          <w:szCs w:val="24"/>
        </w:rPr>
        <w:t xml:space="preserve">подтверждении </w:t>
      </w:r>
      <w:r>
        <w:rPr>
          <w:rFonts w:cstheme="minorHAnsi"/>
          <w:sz w:val="24"/>
          <w:szCs w:val="24"/>
        </w:rPr>
        <w:t xml:space="preserve">стран происхождения товаров. </w:t>
      </w:r>
    </w:p>
    <w:p>
      <w:pPr>
        <w:pStyle w:val="aff5"/>
        <w:spacing w:after="120" w:line="36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спецификации</w:t>
      </w:r>
      <w:r>
        <w:rPr>
          <w:rFonts w:cstheme="minorHAnsi"/>
          <w:sz w:val="24"/>
          <w:szCs w:val="24"/>
        </w:rPr>
        <w:t xml:space="preserve"> добавлены следующие данные:</w:t>
      </w:r>
    </w:p>
    <w:p>
      <w:pPr>
        <w:pStyle w:val="--"/>
        <w:numPr>
          <w:numId w:val="34"/>
          <w:ilvl w:val="0"/>
        </w:numPr>
        <w:tabs>
          <w:tab w:val="clear" w:pos="1211"/>
        </w:tabs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блок «Общая информация» добавлено поле «Предустановлено программное обеспечение»;</w:t>
      </w:r>
    </w:p>
    <w:p>
      <w:pPr>
        <w:pStyle w:val="--"/>
        <w:numPr>
          <w:numId w:val="34"/>
          <w:ilvl w:val="0"/>
        </w:numPr>
        <w:tabs>
          <w:tab w:val="clear" w:pos="1211"/>
        </w:tabs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добавлен блок «Национальный режим»;</w:t>
      </w:r>
    </w:p>
    <w:p>
      <w:pPr>
        <w:pStyle w:val="--"/>
        <w:numPr>
          <w:numId w:val="34"/>
          <w:ilvl w:val="0"/>
        </w:numPr>
        <w:tabs>
          <w:tab w:val="clear" w:pos="1211"/>
        </w:tabs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добавлен блок «Подтверждение страны происхождения».</w:t>
      </w:r>
    </w:p>
    <w:p>
      <w:pPr>
        <w:pStyle w:val="--"/>
        <w:ind w:left="70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электронных </w:t>
      </w:r>
      <w:r>
        <w:rPr>
          <w:rFonts w:asciiTheme="minorHAnsi" w:hAnsiTheme="minorHAnsi" w:cstheme="minorHAnsi"/>
        </w:rPr>
        <w:t xml:space="preserve">контрактах</w:t>
      </w:r>
      <w:r>
        <w:rPr>
          <w:rFonts w:asciiTheme="minorHAnsi" w:hAnsiTheme="minorHAnsi" w:cstheme="minorHAnsi"/>
        </w:rPr>
        <w:t xml:space="preserve"> в структурированном виде</w:t>
      </w:r>
      <w:r>
        <w:rPr>
          <w:rFonts w:asciiTheme="minorHAnsi" w:hAnsiTheme="minorHAnsi" w:cstheme="minorHAnsi"/>
        </w:rPr>
        <w:t xml:space="preserve">, сформированных по результатам конкурентных закупок, по которым были загружены протоколы с данными об участниках закупки, данные блока «Подтверждение страны происхождения» заполняются автоматически на основании данных предложения участника, с которым формируется </w:t>
      </w:r>
      <w:r>
        <w:rPr>
          <w:rFonts w:asciiTheme="minorHAnsi" w:hAnsiTheme="minorHAnsi" w:cstheme="minorHAnsi"/>
        </w:rPr>
        <w:t xml:space="preserve">электронный </w:t>
      </w:r>
      <w:r>
        <w:rPr>
          <w:rFonts w:asciiTheme="minorHAnsi" w:hAnsiTheme="minorHAnsi" w:cstheme="minorHAnsi"/>
        </w:rPr>
        <w:t xml:space="preserve">контракт</w:t>
      </w:r>
      <w:r>
        <w:rPr>
          <w:rFonts w:asciiTheme="minorHAnsi" w:hAnsiTheme="minorHAnsi" w:cstheme="minorHAnsi"/>
        </w:rPr>
        <w:t xml:space="preserve">.</w:t>
      </w:r>
    </w:p>
    <w:p>
      <w:pPr>
        <w:pStyle w:val="--"/>
        <w:shd w:val="clear" w:color="auto" w:fill="ffffff" w:themeFill="background1"/>
        <w:ind w:left="70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формировании контракта из электронного контракта в структурированном виде в спецификациях данные о требованиях национального режима и подтверждении стран происхождения товаров заполняются автоматически на основании аналогичных данных карточки электронного контракта. Изменение данных сведений доступно в карточке контракта без заключения дополнительного соглашения. В случае формирования дополнительного соглашения к электронному контракту изменения из контракта будут автоматически перенесены в электронный контракт.</w:t>
      </w:r>
    </w:p>
    <w:p>
      <w:pPr>
        <w:pStyle w:val="--"/>
        <w:ind w:left="709" w:firstLine="0"/>
      </w:pPr>
    </w:p>
    <w:p>
      <w:pPr>
        <w:spacing w:after="120" w:line="360" w:lineRule="auto"/>
        <w:ind w:left="709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 5.3.3.3.1</w:t>
      </w:r>
      <w:r>
        <w:rPr>
          <w:rFonts w:cstheme="minorHAnsi"/>
          <w:i/>
          <w:iCs/>
          <w:sz w:val="24"/>
          <w:szCs w:val="24"/>
        </w:rPr>
        <w:t xml:space="preserve">2</w:t>
      </w:r>
      <w:r>
        <w:rPr>
          <w:rFonts w:cstheme="minorHAnsi"/>
          <w:i/>
          <w:iCs/>
          <w:sz w:val="24"/>
          <w:szCs w:val="24"/>
        </w:rPr>
        <w:t xml:space="preserve">.1</w:t>
      </w:r>
      <w:r>
        <w:rPr>
          <w:rFonts w:cstheme="minorHAnsi"/>
          <w:i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5.3.3.3.1</w:t>
      </w:r>
      <w:r>
        <w:rPr>
          <w:rFonts w:cstheme="minorHAnsi"/>
          <w:i/>
          <w:iCs/>
          <w:sz w:val="24"/>
          <w:szCs w:val="24"/>
        </w:rPr>
        <w:t xml:space="preserve">2</w:t>
      </w:r>
      <w:r>
        <w:rPr>
          <w:rFonts w:cstheme="minorHAnsi"/>
          <w:i/>
          <w:iCs/>
          <w:sz w:val="24"/>
          <w:szCs w:val="24"/>
        </w:rPr>
        <w:t xml:space="preserve">.3</w:t>
      </w:r>
      <w:r>
        <w:rPr>
          <w:rFonts w:cstheme="minorHAnsi"/>
          <w:i/>
          <w:iCs/>
          <w:sz w:val="24"/>
          <w:szCs w:val="24"/>
        </w:rPr>
        <w:t xml:space="preserve">, </w:t>
      </w:r>
      <w:r>
        <w:rPr>
          <w:rFonts w:cstheme="minorHAnsi"/>
          <w:i/>
          <w:iCs/>
          <w:sz w:val="24"/>
          <w:szCs w:val="24"/>
        </w:rPr>
        <w:t xml:space="preserve">5.3.3.3.1</w:t>
      </w:r>
      <w:r>
        <w:rPr>
          <w:rFonts w:cstheme="minorHAnsi"/>
          <w:i/>
          <w:iCs/>
          <w:sz w:val="24"/>
          <w:szCs w:val="24"/>
        </w:rPr>
        <w:t xml:space="preserve">2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  <w:t xml:space="preserve">4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от 30.06.2026 г.</w:t>
      </w:r>
    </w:p>
    <w:bookmarkEnd w:id="2"/>
    <w:bookmarkEnd w:id="3"/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контрактов, сформированных на основании электронного контракта в структурированном виде, реализована возможность изменения дат платежей без формирования дополнительных соглашений. Изменение дат платежей доступно в переделах года платежа, указанного в электронном контракте.</w:t>
      </w:r>
    </w:p>
    <w:p>
      <w:pPr>
        <w:pStyle w:val="aff5"/>
        <w:spacing w:after="120" w:line="36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случае изменении года платежа – требуется заключение дополнительного соглашения.</w:t>
      </w:r>
    </w:p>
    <w:p>
      <w:pPr>
        <w:spacing w:after="120" w:line="36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6.14.6.1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от 30.06.2026 г.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контрактов, сформированных на основании электронного контракта в структурированном виде, реализована возможность изменения состава платежей без заключения дополнительного соглашения, в том числе: </w:t>
      </w:r>
    </w:p>
    <w:p>
      <w:pPr>
        <w:pStyle w:val="aff5"/>
        <w:numPr>
          <w:numId w:val="38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разделения платежей – в том числе с добавлением платежа на дополнительного получателя. При этом каждый новый добавленный платеж должен быть связан с платежом электронного контракта – при разделении платежа новому платежу автоматически устанавливается связь с платежом электронного контракта, аналогичная родительскому платежу;</w:t>
      </w:r>
    </w:p>
    <w:p>
      <w:pPr>
        <w:pStyle w:val="aff5"/>
        <w:numPr>
          <w:numId w:val="38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добавления нового платежа – при этом каждый новый добавленный платеж должен быть связан с платежом электронного контракта. Для этого в блоке «Платежи по этапу» добавлено новое действие «Связать с платежом электронного контракта»;</w:t>
      </w:r>
    </w:p>
    <w:p>
      <w:pPr>
        <w:pStyle w:val="aff5"/>
        <w:numPr>
          <w:numId w:val="38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удаления платежа. </w:t>
      </w:r>
    </w:p>
    <w:p>
      <w:pPr>
        <w:spacing w:after="120" w:line="36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Обращаем внимание на то, что общая сумма платежей по этапу контракта, привязанных к одному общему платежу по этапу электронного контракта, должна быть равна сумме такого платежа по этапу электронного контракта.</w:t>
      </w:r>
    </w:p>
    <w:p>
      <w:pPr>
        <w:spacing w:after="120" w:line="36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Изменение состава платежей доступно для контрактов, сформированных на основе электронных контрактов в структурированном виде:</w:t>
      </w:r>
    </w:p>
    <w:p>
      <w:pPr>
        <w:pStyle w:val="aff5"/>
        <w:numPr>
          <w:numId w:val="41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внесении изменений в контракт (с регистрацией изменений в ЕИС);</w:t>
      </w:r>
    </w:p>
    <w:p>
      <w:pPr>
        <w:pStyle w:val="aff5"/>
        <w:numPr>
          <w:numId w:val="41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изменении платежных сведений (без регистрации изменений в ЕИС).</w:t>
      </w:r>
    </w:p>
    <w:p>
      <w:pPr>
        <w:spacing w:after="120" w:line="36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6.14.6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от 30.06.2026 г.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В </w:t>
      </w:r>
      <w:r>
        <w:rPr>
          <w:rFonts w:cstheme="minorHAnsi"/>
          <w:sz w:val="24"/>
          <w:szCs w:val="24"/>
        </w:rPr>
        <w:t xml:space="preserve">блоке «Финансирование» карточки </w:t>
      </w:r>
      <w:r>
        <w:rPr>
          <w:rFonts w:cstheme="minorHAnsi"/>
          <w:sz w:val="24"/>
          <w:szCs w:val="24"/>
        </w:rPr>
        <w:t xml:space="preserve">контракта и электронного контракта</w:t>
      </w:r>
      <w:r>
        <w:rPr>
          <w:rFonts w:cstheme="minorHAnsi"/>
          <w:sz w:val="24"/>
          <w:szCs w:val="24"/>
        </w:rPr>
        <w:t xml:space="preserve"> реализовано отображение кода поступлений для источников финансирования</w:t>
      </w:r>
      <w:r>
        <w:rPr>
          <w:rFonts w:cstheme="minorHAnsi"/>
          <w:sz w:val="24"/>
          <w:szCs w:val="24"/>
        </w:rPr>
        <w:t xml:space="preserve">. Код поступлений (при его наличии у источника финансирования) отображается для автономных и бюджетных учреждений, которые обслуживаются в Федеральном казначействе.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  <w:t xml:space="preserve"> 5.3.3.3.</w:t>
      </w:r>
      <w:r>
        <w:rPr>
          <w:rFonts w:cstheme="minorHAnsi"/>
          <w:i/>
          <w:iCs/>
          <w:sz w:val="24"/>
          <w:szCs w:val="24"/>
        </w:rPr>
        <w:t xml:space="preserve">10</w:t>
      </w:r>
      <w:r>
        <w:rPr>
          <w:rFonts w:cstheme="minorHAnsi"/>
          <w:i/>
          <w:iCs/>
          <w:sz w:val="24"/>
          <w:szCs w:val="24"/>
        </w:rPr>
        <w:t xml:space="preserve">,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6.2.8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инструкции по подсистеме Реестр контрактов от </w:t>
      </w:r>
      <w:r>
        <w:rPr>
          <w:rFonts w:cstheme="minorHAnsi"/>
          <w:i/>
          <w:iCs/>
          <w:sz w:val="24"/>
          <w:szCs w:val="24"/>
        </w:rPr>
        <w:t xml:space="preserve">30.06.2026</w:t>
      </w:r>
      <w:r>
        <w:rPr>
          <w:rFonts w:cstheme="minorHAnsi"/>
          <w:i/>
          <w:iCs/>
          <w:sz w:val="24"/>
          <w:szCs w:val="24"/>
        </w:rPr>
        <w:t xml:space="preserve"> г.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bookmarkStart w:id="4" w:name="_Toc229737625"/>
      <w:bookmarkStart w:id="5" w:name="_Ref230017539"/>
      <w:r>
        <w:rPr>
          <w:rFonts w:cstheme="minorHAnsi"/>
          <w:sz w:val="24"/>
          <w:szCs w:val="24"/>
        </w:rPr>
        <w:t xml:space="preserve">В карточках этапа электронного контракта и контракта в модальное окно «Выбор поставки этапа» добавлен столбец «Реестровый номер спецификации» с возможностью фильтрации</w:t>
      </w:r>
      <w:bookmarkEnd w:id="4"/>
      <w:bookmarkEnd w:id="5"/>
      <w:r>
        <w:rPr>
          <w:rFonts w:cstheme="minorHAnsi"/>
          <w:sz w:val="24"/>
          <w:szCs w:val="24"/>
        </w:rPr>
        <w:t xml:space="preserve">.</w:t>
      </w:r>
    </w:p>
    <w:p>
      <w:pPr>
        <w:pStyle w:val="aff5"/>
        <w:spacing w:after="12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5.3.3.3.1</w:t>
      </w:r>
      <w:r>
        <w:rPr>
          <w:rFonts w:cstheme="minorHAnsi"/>
          <w:i/>
          <w:iCs/>
          <w:sz w:val="24"/>
          <w:szCs w:val="24"/>
        </w:rPr>
        <w:t xml:space="preserve">3</w:t>
      </w:r>
      <w:r>
        <w:rPr>
          <w:rFonts w:cstheme="minorHAnsi"/>
          <w:i/>
          <w:iCs/>
          <w:sz w:val="24"/>
          <w:szCs w:val="24"/>
        </w:rPr>
        <w:t xml:space="preserve">.2</w:t>
      </w:r>
      <w:r>
        <w:rPr>
          <w:rFonts w:cstheme="minorHAnsi"/>
          <w:i/>
          <w:iCs/>
          <w:sz w:val="24"/>
          <w:szCs w:val="24"/>
        </w:rPr>
        <w:t xml:space="preserve">, 6.14.4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от 30.06.2026 г.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Аналитика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выгрузки «Данные реестра контрактов», «Реестр договоров 223-ФЗ», «Участие поставщика в закупках» и «Участие поставщика в закупках 223-ФЗ» добавлена колонка «Производитель», в которой отображается значение «Да», если в карточке поставщика в поле «Производитель» установлено значение «Да». </w:t>
      </w: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557210274"/>
    </w:sdtPr>
    <w:sdtContent>
      <w:p>
        <w:pPr>
          <w:pStyle w:val="afc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p>
    </w:sdtContent>
  </w:sdt>
  <w:p>
    <w:pPr>
      <w:pStyle w:val="af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"/>
      <w:lvlJc w:val="left"/>
      <w:pPr>
        <w:ind w:left="1632" w:hanging="360"/>
      </w:pPr>
      <w:rPr>
        <w:rFonts w:hint="default" w:ascii="Symbol" w:hAnsi="Symbol"/>
      </w:rPr>
    </w:lvl>
    <w:lvl w:ilvl="1">
      <w:start w:val="1"/>
      <w:numFmt w:val="bullet"/>
      <w:pStyle w:val="2"/>
      <w:lvlText w:val=""/>
      <w:lvlJc w:val="left"/>
      <w:pPr>
        <w:ind w:left="2352" w:hanging="360"/>
      </w:pPr>
      <w:rPr>
        <w:rFonts w:hint="default" w:ascii="Symbol" w:hAnsi="Symbol"/>
      </w:rPr>
    </w:lvl>
    <w:lvl w:ilvl="2">
      <w:start w:val="1"/>
      <w:numFmt w:val="bullet"/>
      <w:lvlText w:val=""/>
      <w:lvlJc w:val="left"/>
      <w:pPr>
        <w:ind w:left="3072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1F3C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lvlText w:val="–"/>
      <w:lvlJc w:val="left"/>
      <w:pPr>
        <w:ind w:left="1571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pStyle w:val="2-"/>
      <w:lvlText w:val="–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pStyle w:val="1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4EE89CAA">
      <w:start w:val="1"/>
      <w:numFmt w:val="bullet"/>
      <w:lvlText w:val=""/>
      <w:lvlJc w:val="left"/>
      <w:pPr>
        <w:ind w:left="1434" w:hanging="360"/>
      </w:pPr>
      <w:rPr>
        <w:rFonts w:hint="default" w:ascii="Symbol" w:hAnsi="Symbol"/>
        <w:sz w:val="20"/>
      </w:rPr>
    </w:lvl>
    <w:lvl w:ilvl="1" w:tentative="1" w:tplc="04190003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lvlText w:val=""/>
      <w:lvlJc w:val="left"/>
      <w:pPr>
        <w:ind w:left="2059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bullet"/>
      <w:lvlText w:val="­"/>
      <w:lvlJc w:val="left"/>
      <w:pPr>
        <w:ind w:left="3368" w:hanging="357"/>
      </w:pPr>
      <w:rPr>
        <w:rFonts w:hint="default" w:ascii="Courier New" w:hAnsi="Courier New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 w:tplc="4EE89CA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sz w:val="2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 w:tplc="4EE89CAA">
      <w:start w:val="1"/>
      <w:numFmt w:val="bullet"/>
      <w:lvlText w:val=""/>
      <w:lvlJc w:val="left"/>
      <w:pPr>
        <w:ind w:left="1434" w:hanging="360"/>
      </w:pPr>
      <w:rPr>
        <w:rFonts w:hint="default" w:ascii="Symbol" w:hAnsi="Symbol"/>
        <w:sz w:val="20"/>
      </w:rPr>
    </w:lvl>
    <w:lvl w:ilvl="1" w:tentative="1" w:tplc="04190003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 w:tplc="B06E180C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pStyle w:val="-"/>
      <w:lvlText w:val=""/>
      <w:lvlJc w:val="left"/>
      <w:pPr>
        <w:ind w:left="1208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left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336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plc="4EE89C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70E0A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DB4A38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9E661E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C1022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6CCA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1EC3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ADECD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724D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pStyle w:val="10"/>
      <w:lvlText w:val="−"/>
      <w:lvlJc w:val="left"/>
      <w:pPr>
        <w:tabs>
          <w:tab w:val="left" w:pos="227"/>
        </w:tabs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tabs>
          <w:tab w:val="left" w:pos="2160"/>
        </w:tabs>
        <w:ind w:left="2160" w:hanging="360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080C1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 w:tplc="0AC6A8DC">
      <w:start w:val="1"/>
      <w:numFmt w:val="bullet"/>
      <w:lvlText w:val=""/>
      <w:lvlJc w:val="left"/>
      <w:pPr>
        <w:ind w:left="1481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201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921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41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81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801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41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 w:tplc="0AC6A8DC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pStyle w:val="a"/>
      <w:lvlText w:val="%1)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2291" w:hanging="360"/>
      </w:pPr>
      <w:rPr>
        <w:rFonts w:hint="default" w:ascii="Symbol" w:hAnsi="Symbol"/>
        <w:sz w:val="24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left="1800" w:hanging="360"/>
      </w:pPr>
    </w:lvl>
    <w:lvl w:ilvl="2" w:tentative="1" w:tplc="FFFFFFFF">
      <w:start w:val="1"/>
      <w:numFmt w:val="lowerRoman"/>
      <w:lvlText w:val="%3."/>
      <w:lvlJc w:val="right"/>
      <w:pPr>
        <w:ind w:left="2520" w:hanging="180"/>
      </w:pPr>
    </w:lvl>
    <w:lvl w:ilvl="3" w:tentative="1" w:tplc="FFFFFFFF">
      <w:start w:val="1"/>
      <w:numFmt w:val="decimal"/>
      <w:lvlText w:val="%4."/>
      <w:lvlJc w:val="left"/>
      <w:pPr>
        <w:ind w:left="3240" w:hanging="360"/>
      </w:pPr>
    </w:lvl>
    <w:lvl w:ilvl="4" w:tentative="1" w:tplc="FFFFFFFF">
      <w:start w:val="1"/>
      <w:numFmt w:val="lowerLetter"/>
      <w:lvlText w:val="%5."/>
      <w:lvlJc w:val="left"/>
      <w:pPr>
        <w:ind w:left="3960" w:hanging="360"/>
      </w:pPr>
    </w:lvl>
    <w:lvl w:ilvl="5" w:tentative="1" w:tplc="FFFFFFFF">
      <w:start w:val="1"/>
      <w:numFmt w:val="lowerRoman"/>
      <w:lvlText w:val="%6."/>
      <w:lvlJc w:val="right"/>
      <w:pPr>
        <w:ind w:left="4680" w:hanging="180"/>
      </w:pPr>
    </w:lvl>
    <w:lvl w:ilvl="6" w:tentative="1" w:tplc="FFFFFFFF">
      <w:start w:val="1"/>
      <w:numFmt w:val="decimal"/>
      <w:lvlText w:val="%7."/>
      <w:lvlJc w:val="left"/>
      <w:pPr>
        <w:ind w:left="5400" w:hanging="360"/>
      </w:pPr>
    </w:lvl>
    <w:lvl w:ilvl="7" w:tentative="1" w:tplc="FFFFFFFF">
      <w:start w:val="1"/>
      <w:numFmt w:val="lowerLetter"/>
      <w:lvlText w:val="%8."/>
      <w:lvlJc w:val="left"/>
      <w:pPr>
        <w:ind w:left="6120" w:hanging="360"/>
      </w:pPr>
    </w:lvl>
    <w:lvl w:ilvl="8" w:tentative="1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pStyle w:val="-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-2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-3"/>
      <w:suff w:val="space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851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tl"/>
        <w14:props3d w14:contourW="0" w14:extrusionH="0" w14:prstMaterial="clear"/>
        <w14:scene3d/>
        <w14:ligatures w14:val="none"/>
        <w14:numForm w14:val="default"/>
        <w14:numSpacing w14:val="default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-7"/>
      <w:lvlText w:val="%1.%2.%3.%4.%5.%6.%7"/>
      <w:lvlJc w:val="left"/>
      <w:pPr>
        <w:tabs>
          <w:tab w:val="num" w:pos="432"/>
        </w:tabs>
        <w:ind w:left="851" w:firstLine="0"/>
      </w:pPr>
      <w:rPr>
        <w:rFonts w:hint="default"/>
      </w:rPr>
    </w:lvl>
    <w:lvl w:ilvl="7">
      <w:start w:val="1"/>
      <w:numFmt w:val="decimal"/>
      <w:pStyle w:val="-8"/>
      <w:lvlText w:val="%1.%2.%3.%4.%5.%6.%7.%8"/>
      <w:lvlJc w:val="left"/>
      <w:pPr>
        <w:tabs>
          <w:tab w:val="num" w:pos="432"/>
        </w:tabs>
        <w:ind w:left="85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851" w:firstLine="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"/>
  </w:num>
  <w:num w:numId="5">
    <w:abstractNumId w:val="28"/>
  </w:num>
  <w:num w:numId="6">
    <w:abstractNumId w:val="35"/>
  </w:num>
  <w:num w:numId="7">
    <w:abstractNumId w:val="34"/>
  </w:num>
  <w:num w:numId="8">
    <w:abstractNumId w:val="4"/>
  </w:num>
  <w:num w:numId="9">
    <w:abstractNumId w:val="10"/>
  </w:num>
  <w:num w:numId="10">
    <w:abstractNumId w:val="39"/>
  </w:num>
  <w:num w:numId="11">
    <w:abstractNumId w:val="26"/>
  </w:num>
  <w:num w:numId="12">
    <w:abstractNumId w:val="29"/>
  </w:num>
  <w:num w:numId="13">
    <w:abstractNumId w:val="36"/>
  </w:num>
  <w:num w:numId="14">
    <w:abstractNumId w:val="11"/>
  </w:num>
  <w:num w:numId="15">
    <w:abstractNumId w:val="33"/>
  </w:num>
  <w:num w:numId="16">
    <w:abstractNumId w:val="37"/>
  </w:num>
  <w:num w:numId="17">
    <w:abstractNumId w:val="13"/>
  </w:num>
  <w:num w:numId="18">
    <w:abstractNumId w:val="19"/>
  </w:num>
  <w:num w:numId="19">
    <w:abstractNumId w:val="9"/>
  </w:num>
  <w:num w:numId="20">
    <w:abstractNumId w:val="17"/>
  </w:num>
  <w:num w:numId="21">
    <w:abstractNumId w:val="6"/>
  </w:num>
  <w:num w:numId="22">
    <w:abstractNumId w:val="25"/>
  </w:num>
  <w:num w:numId="23">
    <w:abstractNumId w:val="20"/>
  </w:num>
  <w:num w:numId="24">
    <w:abstractNumId w:val="23"/>
  </w:num>
  <w:num w:numId="25">
    <w:abstractNumId w:val="27"/>
  </w:num>
  <w:num w:numId="26">
    <w:abstractNumId w:val="5"/>
  </w:num>
  <w:num w:numId="27">
    <w:abstractNumId w:val="21"/>
  </w:num>
  <w:num w:numId="28">
    <w:abstractNumId w:val="0"/>
  </w:num>
  <w:num w:numId="29">
    <w:abstractNumId w:val="14"/>
  </w:num>
  <w:num w:numId="30">
    <w:abstractNumId w:val="40"/>
  </w:num>
  <w:num w:numId="31">
    <w:abstractNumId w:val="2"/>
  </w:num>
  <w:num w:numId="32">
    <w:abstractNumId w:val="38"/>
  </w:num>
  <w:num w:numId="33">
    <w:abstractNumId w:val="24"/>
  </w:num>
  <w:num w:numId="34">
    <w:abstractNumId w:val="15"/>
  </w:num>
  <w:num w:numId="35">
    <w:abstractNumId w:val="12"/>
  </w:num>
  <w:num w:numId="36">
    <w:abstractNumId w:val="18"/>
  </w:num>
  <w:num w:numId="37">
    <w:abstractNumId w:val="8"/>
  </w:num>
  <w:num w:numId="38">
    <w:abstractNumId w:val="16"/>
  </w:num>
  <w:num w:numId="39">
    <w:abstractNumId w:val="32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0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character" w:styleId="a6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endnote text"/>
    <w:basedOn w:val="a0"/>
    <w:link w:val="ad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e">
    <w:name w:val="caption"/>
    <w:basedOn w:val="a0"/>
    <w:next w:val="a0"/>
    <w:link w:val="af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annotation text"/>
    <w:aliases w:val="Примечания: текст,Текст инструкции"/>
    <w:basedOn w:val="a0"/>
    <w:link w:val="af1"/>
    <w:uiPriority w:val="99"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f6">
    <w:name w:val="header"/>
    <w:basedOn w:val="a0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13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8">
    <w:name w:val="table of figures"/>
    <w:basedOn w:val="a0"/>
    <w:next w:val="a0"/>
    <w:uiPriority w:val="99"/>
    <w:unhideWhenUsed/>
    <w:qFormat/>
    <w:pPr>
      <w:spacing w:after="0"/>
    </w:pPr>
  </w:style>
  <w:style w:type="paragraph" w:styleId="31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2">
    <w:name w:val="toc 2"/>
    <w:basedOn w:val="a0"/>
    <w:next w:val="a0"/>
    <w:uiPriority w:val="39"/>
    <w:unhideWhenUsed/>
    <w:qFormat/>
    <w:pPr>
      <w:spacing w:after="57"/>
      <w:ind w:left="283"/>
    </w:pPr>
  </w:style>
  <w:style w:type="paragraph" w:styleId="41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9">
    <w:name w:val="List Bullet"/>
    <w:basedOn w:val="1"/>
    <w:uiPriority w:val="99"/>
    <w:unhideWhenUsed/>
    <w:qFormat/>
    <w:pPr>
      <w:ind w:left="1208" w:hanging="357"/>
    </w:pPr>
  </w:style>
  <w:style w:type="paragraph" w:styleId="1" w:customStyle="1">
    <w:name w:val="Маркированный список 1"/>
    <w:basedOn w:val="a0"/>
    <w:qFormat/>
    <w:pPr>
      <w:numPr>
        <w:numId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Title"/>
    <w:basedOn w:val="a0"/>
    <w:next w:val="a0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0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2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2"/>
    <w:uiPriority w:val="99"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" w:customStyle="1">
    <w:name w:val="Таблица-сетка 41"/>
    <w:basedOn w:val="a2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0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0" w:customStyle="1">
    <w:name w:val="Список-таблица 21"/>
    <w:basedOn w:val="a2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0" w:customStyle="1">
    <w:name w:val="Список-таблица 3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0" w:customStyle="1">
    <w:name w:val="Список-таблица 5 темная1"/>
    <w:basedOn w:val="a2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0" w:customStyle="1">
    <w:name w:val="Список-таблица 6 цветная1"/>
    <w:basedOn w:val="a2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0" w:customStyle="1">
    <w:name w:val="Список-таблица 7 цветная1"/>
    <w:basedOn w:val="a2"/>
    <w:uiPriority w:val="99"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4" w:customStyle="1">
    <w:name w:val="Заголовок оглавления1"/>
    <w:uiPriority w:val="39"/>
    <w:unhideWhenUsed/>
  </w:style>
  <w:style w:type="table" w:styleId="111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1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1" w:customStyle="1">
    <w:name w:val="Таблица простая 31"/>
    <w:basedOn w:val="a2"/>
    <w:uiPriority w:val="99"/>
    <w:qFormat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1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1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1" w:customStyle="1">
    <w:name w:val="Таблица-сетка 41"/>
    <w:basedOn w:val="a2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2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2" w:customStyle="1">
    <w:name w:val="Список-таблица 21"/>
    <w:basedOn w:val="a2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2" w:customStyle="1">
    <w:name w:val="Список-таблица 3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2" w:customStyle="1">
    <w:name w:val="Список-таблица 4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2" w:customStyle="1">
    <w:name w:val="Список-таблица 5 темная1"/>
    <w:basedOn w:val="a2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2" w:customStyle="1">
    <w:name w:val="Список-таблица 6 цветная1"/>
    <w:basedOn w:val="a2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2" w:customStyle="1">
    <w:name w:val="Список-таблица 7 цветная1"/>
    <w:basedOn w:val="a2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5" w:customStyle="1">
    <w:name w:val="Заголовок оглавления1"/>
    <w:uiPriority w:val="39"/>
    <w:unhideWhenUsed/>
    <w:qFormat/>
  </w:style>
  <w:style w:type="paragraph" w:styleId="113" w:customStyle="1">
    <w:name w:val="Заголовок оглавления113"/>
    <w:uiPriority w:val="39"/>
    <w:unhideWhenUsed/>
    <w:qFormat/>
  </w:style>
  <w:style w:type="paragraph" w:styleId="112" w:customStyle="1">
    <w:name w:val="Заголовок оглавления112"/>
    <w:uiPriority w:val="39"/>
    <w:unhideWhenUsed/>
    <w:qFormat/>
  </w:style>
  <w:style w:type="character" w:styleId="Heading1Char" w:customStyle="1">
    <w:name w:val="Heading 1 Char"/>
    <w:basedOn w:val="a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1"/>
    <w:uiPriority w:val="9"/>
    <w:qFormat/>
    <w:rPr>
      <w:rFonts w:ascii="Arial" w:hAnsi="Arial" w:eastAsia="Arial" w:cs="Arial"/>
      <w:sz w:val="34"/>
    </w:rPr>
  </w:style>
  <w:style w:type="character" w:styleId="Heading5Char" w:customStyle="1">
    <w:name w:val="Heading 5 Char"/>
    <w:basedOn w:val="a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qFormat/>
    <w:rPr>
      <w:sz w:val="48"/>
      <w:szCs w:val="48"/>
    </w:rPr>
  </w:style>
  <w:style w:type="character" w:styleId="SubtitleChar" w:customStyle="1">
    <w:name w:val="Subtitle Char"/>
    <w:basedOn w:val="a1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paragraph" w:styleId="1110" w:customStyle="1">
    <w:name w:val="Заголовок оглавления111"/>
    <w:uiPriority w:val="39"/>
    <w:unhideWhenUsed/>
    <w:qFormat/>
  </w:style>
  <w:style w:type="character" w:styleId="12" w:customStyle="1">
    <w:name w:val="Заголовок 1 Знак"/>
    <w:basedOn w:val="a1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a1"/>
    <w:link w:val="2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1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1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1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1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1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aff2">
    <w:name w:val="No Spacing"/>
    <w:uiPriority w:val="1"/>
    <w:qFormat/>
    <w:rPr>
      <w:rFonts w:asciiTheme="minorHAnsi" w:hAnsiTheme="minorHAnsi" w:eastAsiaTheme="minorHAnsi" w:cstheme="minorBidi"/>
    </w:rPr>
  </w:style>
  <w:style w:type="character" w:styleId="afb" w:customStyle="1">
    <w:name w:val="Заголовок Знак"/>
    <w:basedOn w:val="a1"/>
    <w:link w:val="afa"/>
    <w:uiPriority w:val="10"/>
    <w:qFormat/>
    <w:rPr>
      <w:sz w:val="48"/>
      <w:szCs w:val="48"/>
    </w:rPr>
  </w:style>
  <w:style w:type="character" w:styleId="aff0" w:customStyle="1">
    <w:name w:val="Подзаголовок Знак"/>
    <w:basedOn w:val="a1"/>
    <w:link w:val="aff"/>
    <w:uiPriority w:val="11"/>
    <w:qFormat/>
    <w:rPr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pPr>
      <w:ind w:left="720" w:right="720"/>
    </w:pPr>
    <w:rPr>
      <w:i/>
    </w:rPr>
  </w:style>
  <w:style w:type="character" w:styleId="24" w:customStyle="1">
    <w:name w:val="Цитата 2 Знак"/>
    <w:link w:val="23"/>
    <w:uiPriority w:val="29"/>
    <w:qFormat/>
    <w:rPr>
      <w:i/>
    </w:rPr>
  </w:style>
  <w:style w:type="paragraph" w:styleId="aff3">
    <w:name w:val="Intense Quote"/>
    <w:basedOn w:val="a0"/>
    <w:next w:val="a0"/>
    <w:link w:val="aff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ff4" w:customStyle="1">
    <w:name w:val="Выделенная цитата Знак"/>
    <w:link w:val="aff3"/>
    <w:uiPriority w:val="30"/>
    <w:qFormat/>
    <w:rPr>
      <w:i/>
    </w:rPr>
  </w:style>
  <w:style w:type="character" w:styleId="HeaderChar" w:customStyle="1">
    <w:name w:val="Header Char"/>
    <w:basedOn w:val="a1"/>
    <w:uiPriority w:val="99"/>
    <w:qFormat/>
  </w:style>
  <w:style w:type="character" w:styleId="FooterChar" w:customStyle="1">
    <w:name w:val="Footer Char"/>
    <w:basedOn w:val="a1"/>
    <w:uiPriority w:val="99"/>
    <w:qFormat/>
  </w:style>
  <w:style w:type="character" w:styleId="CaptionChar" w:customStyle="1">
    <w:name w:val="Caption Char"/>
    <w:uiPriority w:val="99"/>
    <w:qFormat/>
  </w:style>
  <w:style w:type="table" w:styleId="TableGridLight" w:customStyle="1">
    <w:name w:val="Table Grid Light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" w:customStyle="1">
    <w:name w:val="Grid Table 1 Light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 w:customStyle="1">
    <w:name w:val="Grid Table 2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37DC8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4B184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FD865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-Accent1" w:customStyle="1">
    <w:name w:val="Grid Table 3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-Accent1" w:customStyle="1">
    <w:name w:val="Grid Table 4 - Accent 1"/>
    <w:basedOn w:val="a2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-Accent1" w:customStyle="1">
    <w:name w:val="Grid Table 5 Dark- Accent 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-Accent1" w:customStyle="1">
    <w:name w:val="Grid Table 6 Colorful - Accent 1"/>
    <w:basedOn w:val="a2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cPr>
        <w:tcBorders>
          <w:top w:val="none"/>
          <w:left w:val="none"/>
          <w:bottom w:val="single" w:color="A0B7E1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tcBorders>
          <w:top w:val="single" w:color="A0B7E1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tcBorders>
          <w:top w:val="none"/>
          <w:left w:val="single" w:color="A0B7E1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</w:rPr>
      <w:tcPr>
        <w:tcBorders>
          <w:top w:val="none"/>
          <w:left w:val="none"/>
          <w:bottom w:val="single" w:color="A5A5A5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tcBorders>
          <w:top w:val="none"/>
          <w:left w:val="single" w:color="A5A5A5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cPr>
        <w:tcBorders>
          <w:top w:val="none"/>
          <w:left w:val="none"/>
          <w:bottom w:val="single" w:color="A2C6E7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tcBorders>
          <w:top w:val="single" w:color="A2C6E7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tcBorders>
          <w:top w:val="none"/>
          <w:left w:val="single" w:color="A2C6E7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cPr>
        <w:tcBorders>
          <w:top w:val="none"/>
          <w:left w:val="none"/>
          <w:bottom w:val="single" w:color="ADD394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tcBorders>
          <w:top w:val="single" w:color="ADD394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tcBorders>
          <w:top w:val="none"/>
          <w:left w:val="single" w:color="ADD394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styleId="ListTable1Light-Accent1" w:customStyle="1">
    <w:name w:val="List Table 1 Light - Accent 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ED7D31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FFC000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-Accent1" w:customStyle="1">
    <w:name w:val="List Table 2 - Accent 1"/>
    <w:basedOn w:val="a2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-Accent1" w:customStyle="1">
    <w:name w:val="List Table 3 - Accent 1"/>
    <w:basedOn w:val="a2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-Accent1" w:customStyle="1">
    <w:name w:val="List Table 4 - Accent 1"/>
    <w:basedOn w:val="a2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-Accent1" w:customStyle="1">
    <w:name w:val="List Table 5 Dark - Accent 1"/>
    <w:basedOn w:val="a2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2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 w:customStyle="1">
    <w:name w:val="List Table 6 Colorful - Accent 1"/>
    <w:basedOn w:val="a2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qFormat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single" w:color="4472C4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qFormat/>
    <w:tblPr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qFormat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none"/>
          <w:bottom w:val="single" w:color="C9C9C9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tcBorders>
          <w:top w:val="single" w:color="C9C9C9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single" w:color="C9C9C9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qFormat/>
    <w:tblPr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qFormat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none"/>
          <w:bottom w:val="single" w:color="9BC2E5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tcBorders>
          <w:top w:val="single" w:color="9BC2E5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single" w:color="9BC2E5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qFormat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none"/>
          <w:bottom w:val="single" w:color="A9D08E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tcBorders>
          <w:top w:val="single" w:color="A9D08E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single" w:color="A9D08E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ned-Accent" w:customStyle="1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2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5" w:customStyle="1">
    <w:name w:val="Текст сноски Знак"/>
    <w:link w:val="af4"/>
    <w:uiPriority w:val="99"/>
    <w:qFormat/>
    <w:rPr>
      <w:sz w:val="18"/>
    </w:rPr>
  </w:style>
  <w:style w:type="character" w:styleId="ad" w:customStyle="1">
    <w:name w:val="Текст концевой сноски Знак"/>
    <w:link w:val="ac"/>
    <w:uiPriority w:val="99"/>
    <w:qFormat/>
    <w:rPr>
      <w:sz w:val="20"/>
    </w:rPr>
  </w:style>
  <w:style w:type="paragraph" w:styleId="114" w:customStyle="1">
    <w:name w:val="Заголовок оглавления11"/>
    <w:uiPriority w:val="39"/>
    <w:unhideWhenUsed/>
    <w:qFormat/>
    <w:rPr>
      <w:rFonts w:asciiTheme="minorHAnsi" w:hAnsiTheme="minorHAnsi" w:eastAsiaTheme="minorHAnsi" w:cstheme="minorBidi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character" w:styleId="aff6" w:customStyle="1">
    <w:name w:val="Абзац списка Знак"/>
    <w:link w:val="aff5"/>
    <w:uiPriority w:val="34"/>
    <w:qFormat/>
  </w:style>
  <w:style w:type="character" w:styleId="ab" w:customStyle="1">
    <w:name w:val="Текст выноски Знак"/>
    <w:basedOn w:val="a1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styleId="16" w:customStyle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7" w:customStyle="1">
    <w:name w:val="регистрационные поля"/>
    <w:basedOn w:val="a0"/>
    <w:qFormat/>
    <w:pPr>
      <w:spacing w:after="0" w:line="240" w:lineRule="exact"/>
      <w:jc w:val="center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af7" w:customStyle="1">
    <w:name w:val="Верхний колонтитул Знак"/>
    <w:basedOn w:val="a1"/>
    <w:link w:val="af6"/>
    <w:uiPriority w:val="99"/>
    <w:qFormat/>
  </w:style>
  <w:style w:type="character" w:styleId="afd" w:customStyle="1">
    <w:name w:val="Нижний колонтитул Знак"/>
    <w:basedOn w:val="a1"/>
    <w:link w:val="afc"/>
    <w:uiPriority w:val="99"/>
    <w:qFormat/>
  </w:style>
  <w:style w:type="character" w:styleId="af1" w:customStyle="1">
    <w:name w:val="Текст примечания Знак"/>
    <w:aliases w:val="Примечания: текст Знак,Текст инструкции Знак"/>
    <w:basedOn w:val="a1"/>
    <w:link w:val="af0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8" w:customStyle="1">
    <w:name w:val="Словарная статья"/>
    <w:basedOn w:val="a0"/>
    <w:next w:val="a0"/>
    <w:qFormat/>
    <w:pPr>
      <w:spacing w:after="0" w:line="240" w:lineRule="auto"/>
      <w:ind w:right="118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af" w:customStyle="1">
    <w:name w:val="Название объекта Знак"/>
    <w:link w:val="ae"/>
    <w:qFormat/>
    <w:rPr>
      <w:i/>
      <w:iCs/>
      <w:color w:val="44546a" w:themeColor="text2"/>
      <w:sz w:val="18"/>
      <w:szCs w:val="18"/>
    </w:rPr>
  </w:style>
  <w:style w:type="character" w:styleId="nobr" w:customStyle="1">
    <w:name w:val="nobr"/>
    <w:basedOn w:val="a1"/>
    <w:qFormat/>
  </w:style>
  <w:style w:type="character" w:styleId="bold" w:customStyle="1">
    <w:name w:val="bold"/>
    <w:basedOn w:val="a1"/>
    <w:qFormat/>
  </w:style>
  <w:style w:type="character" w:styleId="30" w:customStyle="1">
    <w:name w:val="Заголовок 3 Знак"/>
    <w:basedOn w:val="a1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1">
    <w:name w:val="Заголовок 4 Знак"/>
    <w:basedOn w:val="a1"/>
    <w:link w:val="4"/>
    <w:uiPriority w:val="9"/>
    <w:semiHidden/>
    <w:qFormat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-" w:customStyle="1">
    <w:name w:val="ГОСТ-список"/>
    <w:basedOn w:val="a0"/>
    <w:qFormat/>
    <w:pPr>
      <w:numPr>
        <w:numId w:val="2"/>
      </w:num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paragraph" w:styleId="--" w:customStyle="1">
    <w:name w:val="Гост-список-марк"/>
    <w:basedOn w:val="a0"/>
    <w:link w:val="--0"/>
    <w:qFormat/>
    <w:pPr>
      <w:spacing w:after="0" w:line="360" w:lineRule="auto"/>
      <w:ind w:left="1208" w:hanging="357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0" w:customStyle="1">
    <w:name w:val="Гост-список-марк Знак"/>
    <w:link w:val="--"/>
    <w:qFormat/>
    <w:rPr>
      <w:rFonts w:ascii="Times New Roman" w:hAnsi="Times New Roman" w:eastAsia="Calibri" w:cs="Times New Roman"/>
      <w:sz w:val="24"/>
      <w:szCs w:val="24"/>
    </w:rPr>
  </w:style>
  <w:style w:type="paragraph" w:styleId="p1" w:customStyle="1">
    <w:name w:val="p1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1">
    <w:name w:val="Тема примечания Знак"/>
    <w:basedOn w:val="af1"/>
    <w:link w:val="af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17" w:customStyle="1">
    <w:name w:val="Рецензия1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 w:customStyle="1">
    <w:name w:val="Рецензия2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-" w:customStyle="1">
    <w:name w:val="РП Список ненумерованный 2-го уровня"/>
    <w:basedOn w:val="a0"/>
    <w:link w:val="2-0"/>
    <w:qFormat/>
    <w:pPr>
      <w:numPr>
        <w:numId w:val="3"/>
        <w:ilvl w:val="1"/>
      </w:numPr>
      <w:spacing w:after="0" w:line="360" w:lineRule="auto"/>
      <w:ind w:left="1604" w:hanging="357"/>
      <w:jc w:val="both"/>
    </w:pPr>
    <w:rPr>
      <w:rFonts w:ascii="Times New Roman" w:hAnsi="Times New Roman" w:cs="Times New Roman"/>
      <w:sz w:val="24"/>
      <w:szCs w:val="24"/>
      <w:lang w:val="zh-CN" w:eastAsia="zh-CN"/>
    </w:rPr>
  </w:style>
  <w:style w:type="character" w:styleId="2-0" w:customStyle="1">
    <w:name w:val="РП Список ненумерованный 2-го уровня Знак"/>
    <w:basedOn w:val="a1"/>
    <w:link w:val="2-"/>
    <w:qFormat/>
    <w:rPr>
      <w:rFonts w:eastAsiaTheme="minorHAnsi"/>
      <w:sz w:val="24"/>
      <w:szCs w:val="24"/>
      <w:lang w:val="zh-CN" w:eastAsia="zh-CN"/>
    </w:rPr>
  </w:style>
  <w:style w:type="paragraph" w:styleId="--1" w:customStyle="1">
    <w:name w:val="!Гост-список-марк"/>
    <w:basedOn w:val="a0"/>
    <w:link w:val="--2"/>
    <w:qFormat/>
    <w:p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2" w:customStyle="1">
    <w:name w:val="!Гост-список-марк Знак"/>
    <w:link w:val="--1"/>
    <w:qFormat/>
    <w:rPr>
      <w:rFonts w:eastAsia="Calibri"/>
      <w:sz w:val="24"/>
      <w:szCs w:val="24"/>
      <w:lang w:eastAsia="en-US"/>
    </w:rPr>
  </w:style>
  <w:style w:type="paragraph" w:styleId="aff9" w:customStyle="1">
    <w:name w:val="!Абзац перед списком"/>
    <w:basedOn w:val="a0"/>
    <w:qFormat/>
    <w:pPr>
      <w:keepNext/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 w:customStyle="1">
    <w:name w:val="!Список2 уровень"/>
    <w:basedOn w:val="a0"/>
    <w:qFormat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 w:bidi="en-US"/>
    </w:rPr>
  </w:style>
  <w:style w:type="character" w:styleId="26" w:customStyle="1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32" w:customStyle="1">
    <w:name w:val="Рецензия3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8" w:customStyle="1">
    <w:name w:val="Обычный 1"/>
    <w:basedOn w:val="a0"/>
    <w:link w:val="19"/>
    <w:qFormat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" w:customStyle="1">
    <w:name w:val="Обычный 1 Знак"/>
    <w:link w:val="18"/>
    <w:qFormat/>
    <w:rPr>
      <w:rFonts w:eastAsia="Times New Roman"/>
      <w:sz w:val="24"/>
      <w:szCs w:val="24"/>
    </w:rPr>
  </w:style>
  <w:style w:type="character" w:styleId="docdata" w:customStyle="1">
    <w:name w:val="docdata"/>
    <w:basedOn w:val="a1"/>
    <w:qFormat/>
  </w:style>
  <w:style w:type="character" w:styleId="33" w:customStyle="1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42" w:customStyle="1">
    <w:name w:val="Рецензия4"/>
    <w:hidden/>
    <w:uiPriority w:val="99"/>
    <w:unhideWhenUsed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 w:customStyle="1">
    <w:name w:val="маркированный список1"/>
    <w:basedOn w:val="a0"/>
    <w:qFormat/>
    <w:pPr>
      <w:numPr>
        <w:numId w:val="5"/>
      </w:num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 w:customStyle="1">
    <w:name w:val="!Маркированный2"/>
    <w:basedOn w:val="1"/>
    <w:qFormat/>
    <w:pPr>
      <w:ind w:left="1701" w:hanging="425"/>
    </w:pPr>
    <w:rPr>
      <w:lang w:bidi="en-US"/>
    </w:rPr>
  </w:style>
  <w:style w:type="paragraph" w:styleId="34" w:customStyle="1">
    <w:name w:val="!Маркированный3"/>
    <w:basedOn w:val="27"/>
    <w:qFormat/>
    <w:pPr>
      <w:numPr>
        <w:numId w:val="0"/>
      </w:numPr>
      <w:ind w:left="2126" w:hanging="425"/>
    </w:pPr>
  </w:style>
  <w:style w:type="paragraph" w:styleId="1a" w:customStyle="1">
    <w:name w:val="!Маркированный1"/>
    <w:basedOn w:val="10"/>
    <w:qFormat/>
    <w:pPr>
      <w:spacing w:line="360" w:lineRule="auto"/>
    </w:pPr>
    <w:rPr>
      <w:sz w:val="24"/>
      <w:szCs w:val="24"/>
      <w:lang w:bidi="en-US"/>
    </w:rPr>
  </w:style>
  <w:style w:type="paragraph" w:styleId="a" w:customStyle="1">
    <w:name w:val="ЧТЗ Нумерованный список со скобкой"/>
    <w:basedOn w:val="a0"/>
    <w:link w:val="affa"/>
    <w:qFormat/>
    <w:pPr>
      <w:numPr>
        <w:numId w:val="6"/>
      </w:numPr>
      <w:spacing w:after="0" w:line="360" w:lineRule="auto"/>
      <w:jc w:val="both"/>
    </w:pPr>
    <w:rPr>
      <w:rFonts w:ascii="Times New Roman" w:hAnsi="Times New Roman" w:eastAsia="Times New Roman" w:cs="Times New Roman"/>
      <w:iCs/>
      <w:sz w:val="24"/>
      <w:szCs w:val="28"/>
      <w:lang w:bidi="en-US"/>
    </w:rPr>
  </w:style>
  <w:style w:type="character" w:styleId="affa" w:customStyle="1">
    <w:name w:val="ЧТЗ Нумерованный список со скобкой Знак"/>
    <w:basedOn w:val="a1"/>
    <w:link w:val="a"/>
    <w:qFormat/>
    <w:rPr>
      <w:rFonts w:eastAsia="Times New Roman"/>
      <w:iCs/>
      <w:sz w:val="24"/>
      <w:szCs w:val="28"/>
      <w:lang w:bidi="en-US"/>
    </w:rPr>
  </w:style>
  <w:style w:type="paragraph" w:styleId="52" w:customStyle="1">
    <w:name w:val="Рецензия5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ffb">
    <w:name w:val="Revision"/>
    <w:hidden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-1" w:customStyle="1">
    <w:name w:val="!Гост-заг1"/>
    <w:basedOn w:val="11"/>
    <w:qFormat/>
    <w:pPr>
      <w:pageBreakBefore/>
      <w:numPr>
        <w:numId w:val="30"/>
      </w:numPr>
      <w:tabs>
        <w:tab w:val="left" w:pos="284"/>
        <w:tab w:val="left" w:pos="432"/>
        <w:tab w:val="left" w:pos="568"/>
        <w:tab w:val="left" w:pos="709"/>
        <w:tab w:val="left" w:pos="851"/>
        <w:tab w:val="left" w:pos="1418"/>
        <w:tab w:val="left" w:pos="1701"/>
        <w:tab w:val="left" w:pos="1985"/>
      </w:tabs>
      <w:spacing w:before="240" w:after="120" w:line="240" w:lineRule="auto"/>
      <w:jc w:val="both"/>
    </w:pPr>
    <w:rPr>
      <w:rFonts w:ascii="Times New Roman" w:hAnsi="Times New Roman" w:eastAsia="Times New Roman" w:cs="Times New Roman"/>
      <w:b/>
      <w:sz w:val="32"/>
      <w:szCs w:val="44"/>
      <w:lang w:eastAsia="ru-RU"/>
    </w:rPr>
  </w:style>
  <w:style w:type="paragraph" w:styleId="-2" w:customStyle="1">
    <w:name w:val="!Гост-заг2"/>
    <w:basedOn w:val="20"/>
    <w:qFormat/>
    <w:pPr>
      <w:keepLines w:val="0"/>
      <w:numPr>
        <w:numId w:val="30"/>
        <w:ilvl w:val="1"/>
      </w:numPr>
      <w:tabs>
        <w:tab w:val="left" w:pos="426"/>
        <w:tab w:val="left" w:pos="709"/>
      </w:tabs>
      <w:spacing w:before="240" w:after="120" w:line="240" w:lineRule="auto"/>
      <w:jc w:val="both"/>
    </w:pPr>
    <w:rPr>
      <w:rFonts w:ascii="Times New Roman" w:hAnsi="Times New Roman" w:eastAsia="Times New Roman" w:cs="Times New Roman"/>
      <w:b/>
      <w:bCs/>
      <w:sz w:val="28"/>
      <w:szCs w:val="24"/>
      <w:lang w:bidi="en-US"/>
    </w:rPr>
  </w:style>
  <w:style w:type="paragraph" w:styleId="-3" w:customStyle="1">
    <w:name w:val="!Гост-заг3"/>
    <w:basedOn w:val="-2"/>
    <w:next w:val="a0"/>
    <w:qFormat/>
    <w:pPr>
      <w:numPr>
        <w:ilvl w:val="2"/>
      </w:numPr>
      <w:tabs>
        <w:tab w:val="clear" w:pos="426"/>
        <w:tab w:val="clear" w:pos="709"/>
      </w:tabs>
      <w:outlineLvl w:val="2"/>
    </w:pPr>
  </w:style>
  <w:style w:type="paragraph" w:styleId="-4" w:customStyle="1">
    <w:name w:val="!Гост-заг4"/>
    <w:basedOn w:val="-3"/>
    <w:next w:val="a0"/>
    <w:link w:val="-40"/>
    <w:qFormat/>
    <w:pPr>
      <w:keepLines/>
      <w:numPr>
        <w:ilvl w:val="3"/>
      </w:numPr>
      <w:outlineLvl w:val="3"/>
    </w:pPr>
    <w:rPr>
      <w:iCs/>
      <w:sz w:val="26"/>
      <w:szCs w:val="26"/>
    </w:rPr>
  </w:style>
  <w:style w:type="character" w:styleId="-40" w:customStyle="1">
    <w:name w:val="!Гост-заг4 Знак"/>
    <w:basedOn w:val="a1"/>
    <w:link w:val="-4"/>
    <w:qFormat/>
    <w:rPr>
      <w:rFonts w:eastAsia="Times New Roman"/>
      <w:b/>
      <w:bCs/>
      <w:iCs/>
      <w:sz w:val="26"/>
      <w:szCs w:val="26"/>
      <w:lang w:eastAsia="en-US" w:bidi="en-US"/>
    </w:rPr>
  </w:style>
  <w:style w:type="paragraph" w:styleId="-5" w:customStyle="1">
    <w:name w:val="!Гост-заг5"/>
    <w:basedOn w:val="-4"/>
    <w:qFormat/>
    <w:pPr>
      <w:numPr>
        <w:ilvl w:val="4"/>
      </w:numPr>
      <w:ind w:left="4451" w:hanging="360"/>
      <w:outlineLvl w:val="4"/>
    </w:pPr>
    <w:rPr>
      <w:i/>
    </w:rPr>
  </w:style>
  <w:style w:type="paragraph" w:styleId="-6" w:customStyle="1">
    <w:name w:val="!Гост-заг6"/>
    <w:basedOn w:val="-5"/>
    <w:next w:val="a0"/>
    <w:qFormat/>
    <w:pPr>
      <w:numPr>
        <w:ilvl w:val="5"/>
      </w:numPr>
      <w:ind w:left="5171" w:hanging="360"/>
      <w:outlineLvl w:val="5"/>
    </w:pPr>
  </w:style>
  <w:style w:type="paragraph" w:styleId="-7" w:customStyle="1">
    <w:name w:val="!Гост-заг7"/>
    <w:basedOn w:val="-5"/>
    <w:qFormat/>
    <w:pPr>
      <w:numPr>
        <w:ilvl w:val="6"/>
      </w:numPr>
      <w:tabs>
        <w:tab w:val="clear" w:pos="432"/>
      </w:tabs>
      <w:ind w:left="5891" w:hanging="360"/>
      <w:outlineLvl w:val="5"/>
    </w:pPr>
  </w:style>
  <w:style w:type="paragraph" w:styleId="-8" w:customStyle="1">
    <w:name w:val="!Гост-заг8"/>
    <w:basedOn w:val="-7"/>
    <w:qFormat/>
    <w:pPr>
      <w:numPr>
        <w:ilvl w:val="7"/>
      </w:numPr>
      <w:tabs>
        <w:tab w:val="clear" w:pos="432"/>
      </w:tabs>
      <w:ind w:left="6611" w:hanging="360"/>
    </w:pPr>
  </w:style>
  <w:style w:type="paragraph" w:styleId="28" w:customStyle="1">
    <w:name w:val="!Список2"/>
    <w:basedOn w:val="a0"/>
    <w:qFormat/>
    <w:p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9B9-55CB-4CA5-8E41-A6509CC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7491</Characters>
  <CharactersWithSpaces>8788</CharactersWithSpaces>
  <Company>Microsoft</Company>
  <DocSecurity>0</DocSecurity>
  <HyperlinksChanged>false</HyperlinksChanged>
  <Lines>62</Lines>
  <LinksUpToDate>false</LinksUpToDate>
  <Pages>5</Pages>
  <Paragraphs>17</Paragraphs>
  <ScaleCrop>false</ScaleCrop>
  <SharedDoc>false</SharedDoc>
  <Template>Normal</Template>
  <TotalTime>1</TotalTime>
  <Words>1314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Наталья Вячеславовна</dc:creator>
  <cp:lastModifiedBy>svetakonschina@mail.ru</cp:lastModifiedBy>
  <cp:revision>2</cp:revision>
  <dcterms:created xsi:type="dcterms:W3CDTF">2026-06-30T19:06:00Z</dcterms:created>
  <dcterms:modified xsi:type="dcterms:W3CDTF">2026-06-30T19:06:00Z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A38CEF6A7AEA447684E07B64F0D4EA37_12</vt:lpwstr>
  </property>
</Properties>
</file>