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A9322" w14:textId="77777777" w:rsidR="00FF5A44" w:rsidRDefault="0064096B">
      <w:pPr>
        <w:ind w:left="709"/>
        <w:jc w:val="center"/>
        <w:rPr>
          <w:b/>
          <w:color w:val="4472C4" w:themeColor="accent1"/>
          <w:sz w:val="28"/>
        </w:rPr>
      </w:pPr>
      <w:bookmarkStart w:id="0" w:name="_GoBack"/>
      <w:bookmarkEnd w:id="0"/>
      <w:r>
        <w:rPr>
          <w:b/>
          <w:color w:val="4472C4" w:themeColor="accent1"/>
          <w:sz w:val="28"/>
        </w:rPr>
        <w:t>СОСТАВ ОБНОВЛЕНИЙ РИС ЗАКУПКИ ПК ОТ 26.04.2024 г.</w:t>
      </w:r>
    </w:p>
    <w:p w14:paraId="5F4B6900" w14:textId="77777777" w:rsidR="00FF5A44" w:rsidRDefault="00FF5A44">
      <w:pPr>
        <w:ind w:left="709"/>
        <w:jc w:val="center"/>
        <w:rPr>
          <w:b/>
          <w:color w:val="4472C4" w:themeColor="accent1"/>
          <w:sz w:val="28"/>
        </w:rPr>
      </w:pPr>
    </w:p>
    <w:p w14:paraId="6B08032F" w14:textId="77777777" w:rsidR="00FF5A44" w:rsidRDefault="0064096B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44-ФЗ»</w:t>
      </w:r>
    </w:p>
    <w:p w14:paraId="2D6F0847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карточке спецификации лота добавлен блок «Сведения о вариантах поставки лекарственного препарата» для возможности указания альтернативных вариантов поставки лекарственных</w:t>
      </w:r>
      <w:r>
        <w:rPr>
          <w:sz w:val="24"/>
          <w:szCs w:val="24"/>
        </w:rPr>
        <w:t xml:space="preserve"> препаратов без использования группы взаимозаменяемых лекарственных препаратов из ЕСКЛП. Блок отображается, если при создании спецификации не была выбрана группа взаимозаменяемых лекарственных препаратов из ЕСКЛП. Для каждого варианта поставки лекарственно</w:t>
      </w:r>
      <w:r>
        <w:rPr>
          <w:sz w:val="24"/>
          <w:szCs w:val="24"/>
        </w:rPr>
        <w:t>го препарата при заполнении блока обязательно заполнение поля «Коэффициент кратности».</w:t>
      </w:r>
    </w:p>
    <w:p w14:paraId="179D5C58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>в п</w:t>
      </w:r>
      <w:r>
        <w:rPr>
          <w:i/>
          <w:color w:val="000000" w:themeColor="text1"/>
          <w:sz w:val="24"/>
          <w:szCs w:val="24"/>
        </w:rPr>
        <w:t xml:space="preserve">. 5.2.2.3.6.5 </w:t>
      </w:r>
      <w:r>
        <w:rPr>
          <w:i/>
          <w:sz w:val="24"/>
          <w:szCs w:val="24"/>
        </w:rPr>
        <w:t>инструкции по подсистеме Планирование 44-ФЗ от 26.04.2024 г.</w:t>
      </w:r>
    </w:p>
    <w:p w14:paraId="0AEC5990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блоке «Спецификации» карточки лота добавлена возможность</w:t>
      </w:r>
      <w:r>
        <w:rPr>
          <w:sz w:val="24"/>
          <w:szCs w:val="24"/>
        </w:rPr>
        <w:t xml:space="preserve"> копирования спецификаций лота.</w:t>
      </w:r>
    </w:p>
    <w:p w14:paraId="2834A8A1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>в п</w:t>
      </w:r>
      <w:r>
        <w:rPr>
          <w:i/>
          <w:color w:val="000000" w:themeColor="text1"/>
          <w:sz w:val="24"/>
          <w:szCs w:val="24"/>
        </w:rPr>
        <w:t xml:space="preserve">. 5.2.2.4 </w:t>
      </w:r>
      <w:r>
        <w:rPr>
          <w:i/>
          <w:sz w:val="24"/>
          <w:szCs w:val="24"/>
        </w:rPr>
        <w:t>инструкции по подсистеме Планирование 44-ФЗ от 26.04.2024 г.</w:t>
      </w:r>
    </w:p>
    <w:p w14:paraId="0735EEA0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копировании лота исправлена ошибка, при которой в блоке «Характеристики» спецификации лота не копировалось значен</w:t>
      </w:r>
      <w:r>
        <w:rPr>
          <w:sz w:val="24"/>
          <w:szCs w:val="24"/>
        </w:rPr>
        <w:t xml:space="preserve">ие в поле «Инструкция по заполнению заявки». </w:t>
      </w:r>
    </w:p>
    <w:p w14:paraId="3B102433" w14:textId="77777777" w:rsidR="00FF5A44" w:rsidRDefault="0064096B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«Планирование 223-ФЗ»</w:t>
      </w:r>
    </w:p>
    <w:p w14:paraId="75499B94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Изменена логика включения лотов в план закупки для лотов в статусе «Отменен»: в случае если лот ранее не был опубликован в плане закупки на год, на который создается план закупк</w:t>
      </w:r>
      <w:r>
        <w:rPr>
          <w:sz w:val="24"/>
          <w:szCs w:val="24"/>
        </w:rPr>
        <w:t>и, то он не будет включен в создаваемый план закупки.</w:t>
      </w:r>
    </w:p>
    <w:p w14:paraId="23E281EA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Добавлен контроль на обязательность публикации отмены лота в исходном плане закупки. </w:t>
      </w:r>
    </w:p>
    <w:p w14:paraId="439EBF4E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6.2 инструкции по подсистеме Планирование 223-ФЗ от 26.04.2024 г.</w:t>
      </w:r>
    </w:p>
    <w:p w14:paraId="3C1DF03F" w14:textId="77777777" w:rsidR="00FF5A44" w:rsidRDefault="00FF5A44">
      <w:pPr>
        <w:pStyle w:val="aff4"/>
        <w:spacing w:after="120" w:line="360" w:lineRule="auto"/>
        <w:contextualSpacing w:val="0"/>
        <w:jc w:val="both"/>
        <w:rPr>
          <w:b/>
          <w:bCs/>
          <w:sz w:val="24"/>
          <w:szCs w:val="24"/>
        </w:rPr>
      </w:pPr>
    </w:p>
    <w:p w14:paraId="639683B7" w14:textId="77777777" w:rsidR="00FF5A44" w:rsidRDefault="0064096B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Подсистема </w:t>
      </w:r>
      <w:r>
        <w:rPr>
          <w:b/>
          <w:bCs/>
          <w:sz w:val="24"/>
          <w:szCs w:val="24"/>
        </w:rPr>
        <w:t>«Осуществление закупок 44-ФЗ»</w:t>
      </w:r>
    </w:p>
    <w:p w14:paraId="2047F3BA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закупок, размещаемых с записью на единую комиссию краевого уполномоченного органа, в статусе «Сроки размещения изменены ЕК» добавлена кнопка «Отозвать заявку на ЕК». </w:t>
      </w:r>
    </w:p>
    <w:p w14:paraId="035DDDCC" w14:textId="77777777" w:rsidR="00FF5A44" w:rsidRDefault="00FF5A44">
      <w:pPr>
        <w:pStyle w:val="aff4"/>
        <w:spacing w:after="120" w:line="360" w:lineRule="auto"/>
        <w:contextualSpacing w:val="0"/>
        <w:jc w:val="both"/>
        <w:rPr>
          <w:sz w:val="24"/>
          <w:szCs w:val="24"/>
        </w:rPr>
      </w:pPr>
    </w:p>
    <w:p w14:paraId="43128991" w14:textId="77777777" w:rsidR="00FF5A44" w:rsidRDefault="0064096B">
      <w:pPr>
        <w:pStyle w:val="aff4"/>
        <w:spacing w:after="120" w:line="36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Подсистема «Реестр контрактов 44-ФЗ»</w:t>
      </w:r>
    </w:p>
    <w:p w14:paraId="39344AD4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Реализована возмо</w:t>
      </w:r>
      <w:r>
        <w:rPr>
          <w:iCs/>
          <w:sz w:val="24"/>
          <w:szCs w:val="24"/>
        </w:rPr>
        <w:t xml:space="preserve">жность формирования проекта контракта в структурированном виде из лота по результатам проведения совместной закупки </w:t>
      </w:r>
    </w:p>
    <w:p w14:paraId="559836F2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Для контрактов, у которых в поле «Исполнение в части оплата осуществляется в ЕИС» установлено значение «Да», реализована возможность регист</w:t>
      </w:r>
      <w:r>
        <w:rPr>
          <w:iCs/>
          <w:sz w:val="24"/>
          <w:szCs w:val="24"/>
        </w:rPr>
        <w:t>рации из Системы сведений об оплате для платежей по неустойкам и налогам.</w:t>
      </w:r>
    </w:p>
    <w:p w14:paraId="4B80B370" w14:textId="15589E53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</w:t>
      </w:r>
      <w:r w:rsidRPr="00454E45">
        <w:rPr>
          <w:i/>
          <w:sz w:val="24"/>
          <w:szCs w:val="24"/>
        </w:rPr>
        <w:t>6.27.</w:t>
      </w:r>
      <w:r w:rsidR="00454E45">
        <w:rPr>
          <w:i/>
          <w:sz w:val="24"/>
          <w:szCs w:val="24"/>
        </w:rPr>
        <w:t>6.4.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>инструкции по подсистеме Реестр контрактов 44-ФЗ от 26.04.2024 г.</w:t>
      </w:r>
    </w:p>
    <w:p w14:paraId="23709B24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блоке «Данные об оплате» карточки контракта реализована возможность</w:t>
      </w:r>
      <w:r>
        <w:rPr>
          <w:iCs/>
          <w:sz w:val="24"/>
          <w:szCs w:val="24"/>
        </w:rPr>
        <w:t xml:space="preserve"> скачивания платежного документа, загруженного из «АЦК-Финансы» по кнопке «Скачать платежный документ».</w:t>
      </w:r>
    </w:p>
    <w:p w14:paraId="31FC8A8C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Обращаем внимание</w:t>
      </w:r>
      <w:r>
        <w:rPr>
          <w:iCs/>
          <w:sz w:val="24"/>
          <w:szCs w:val="24"/>
        </w:rPr>
        <w:t>, что загрузка платежных документов в составе данных об оплате будет осуществляться после запуска отправки на стороне «АЦК-Финансы». Ор</w:t>
      </w:r>
      <w:r>
        <w:rPr>
          <w:iCs/>
          <w:sz w:val="24"/>
          <w:szCs w:val="24"/>
        </w:rPr>
        <w:t>иентировочно отправка по контрактам платежных документов начнется после 03.05.2024 г. Платежные документы будут загружены только вместе с вновь поступившими сведениями об оплате, по ранее полученным сведениям возможности скачать платежный документ не будет</w:t>
      </w:r>
      <w:r>
        <w:rPr>
          <w:iCs/>
          <w:sz w:val="24"/>
          <w:szCs w:val="24"/>
        </w:rPr>
        <w:t>.</w:t>
      </w:r>
    </w:p>
    <w:p w14:paraId="405BE7DD" w14:textId="7685DBDC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</w:t>
      </w:r>
      <w:r w:rsidR="00953498">
        <w:rPr>
          <w:i/>
          <w:sz w:val="24"/>
          <w:szCs w:val="24"/>
        </w:rPr>
        <w:t>6.11.3</w:t>
      </w:r>
      <w:r>
        <w:rPr>
          <w:iCs/>
          <w:sz w:val="24"/>
          <w:szCs w:val="24"/>
        </w:rPr>
        <w:t xml:space="preserve"> </w:t>
      </w:r>
      <w:r>
        <w:rPr>
          <w:i/>
          <w:sz w:val="24"/>
          <w:szCs w:val="24"/>
        </w:rPr>
        <w:t>инструкции по подсистеме Реестр контрактов 44-ФЗ от 26.04.2024 г.</w:t>
      </w:r>
    </w:p>
    <w:p w14:paraId="20DADC4F" w14:textId="77777777" w:rsidR="00FF5A44" w:rsidRDefault="00FF5A44">
      <w:pPr>
        <w:pStyle w:val="aff4"/>
        <w:keepNext/>
        <w:spacing w:line="360" w:lineRule="auto"/>
        <w:ind w:left="0"/>
        <w:contextualSpacing w:val="0"/>
        <w:rPr>
          <w:b/>
          <w:bCs/>
          <w:sz w:val="24"/>
          <w:szCs w:val="24"/>
        </w:rPr>
      </w:pPr>
    </w:p>
    <w:p w14:paraId="07428012" w14:textId="77777777" w:rsidR="00FF5A44" w:rsidRDefault="0064096B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Подсистема «Реестр договоров 223-ФЗ»</w:t>
      </w:r>
    </w:p>
    <w:p w14:paraId="1D37DCF3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Реализована загрузка сведений об оплате из «АЦК-Финансы» по договорам 223-ФЗ. В карточку договора добавлен блок «Данные об оплате», в котором отражается </w:t>
      </w:r>
      <w:r>
        <w:rPr>
          <w:iCs/>
          <w:sz w:val="24"/>
          <w:szCs w:val="24"/>
        </w:rPr>
        <w:lastRenderedPageBreak/>
        <w:t>информация о загруженных сведениях о фактически проведенных оплатах по договору, с возможностью скачива</w:t>
      </w:r>
      <w:r>
        <w:rPr>
          <w:iCs/>
          <w:sz w:val="24"/>
          <w:szCs w:val="24"/>
        </w:rPr>
        <w:t>ния платежного документа.</w:t>
      </w:r>
    </w:p>
    <w:p w14:paraId="032428C7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Обращаем внимание</w:t>
      </w:r>
      <w:r>
        <w:rPr>
          <w:iCs/>
          <w:sz w:val="24"/>
          <w:szCs w:val="24"/>
        </w:rPr>
        <w:t>, что загрузка платежных документов в составе данных об оплате будет осуществляться после запуска отправки на стороне «АЦК-Финансы». Ориентировочно отправка по контрактам платежных документов начнется после 03.05.</w:t>
      </w:r>
      <w:r>
        <w:rPr>
          <w:iCs/>
          <w:sz w:val="24"/>
          <w:szCs w:val="24"/>
        </w:rPr>
        <w:t>2024 г. Платежные документы будут загружены только вместе с вновь поступившими сведениями об оплате, по ранее полученным сведениям возможности скачать платежный документ не будет.</w:t>
      </w:r>
    </w:p>
    <w:p w14:paraId="1D3D0D3F" w14:textId="04BFC500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в п. </w:t>
      </w:r>
      <w:r w:rsidR="009943D2">
        <w:rPr>
          <w:i/>
          <w:sz w:val="24"/>
          <w:szCs w:val="24"/>
        </w:rPr>
        <w:t>5.3.11</w:t>
      </w:r>
      <w:r>
        <w:rPr>
          <w:i/>
          <w:sz w:val="24"/>
          <w:szCs w:val="24"/>
        </w:rPr>
        <w:t xml:space="preserve"> инструкции по подсистеме Реестр</w:t>
      </w:r>
      <w:r>
        <w:rPr>
          <w:i/>
          <w:sz w:val="24"/>
          <w:szCs w:val="24"/>
        </w:rPr>
        <w:t xml:space="preserve"> договоров 223-ФЗ от 26.04.2024 г. </w:t>
      </w:r>
    </w:p>
    <w:p w14:paraId="4A31F125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блок «Обмен с АЦК-Финансы» карточки договора добавлена кнопка «Переотправить сведения о расторжении». Кнопка отображается в случае, если по договору было зарегистрировано расторжение, но при регистрации расторжения в «</w:t>
      </w:r>
      <w:r>
        <w:rPr>
          <w:iCs/>
          <w:sz w:val="24"/>
          <w:szCs w:val="24"/>
        </w:rPr>
        <w:t>АЦК-Финансы» была получена ошибка.</w:t>
      </w:r>
    </w:p>
    <w:p w14:paraId="78FCFF51" w14:textId="11A27EA1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5.14.3.</w:t>
      </w:r>
      <w:r w:rsidR="008E7F83">
        <w:rPr>
          <w:i/>
          <w:sz w:val="24"/>
          <w:szCs w:val="24"/>
        </w:rPr>
        <w:t>1.2.</w:t>
      </w:r>
      <w:r>
        <w:rPr>
          <w:i/>
          <w:sz w:val="24"/>
          <w:szCs w:val="24"/>
        </w:rPr>
        <w:t xml:space="preserve"> инструкции по подсистеме Реестр договоров 223-ФЗ от 26.04.2024 г. </w:t>
      </w:r>
    </w:p>
    <w:p w14:paraId="1CDBAF54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При сохранении окончательного исполнения по договору добавлен предупреждающий контроль на обязательность</w:t>
      </w:r>
      <w:r>
        <w:rPr>
          <w:iCs/>
          <w:sz w:val="24"/>
          <w:szCs w:val="24"/>
        </w:rPr>
        <w:t xml:space="preserve"> указания информации о прекращении обязательств поставщика, обеспеченных независимой гарантией.</w:t>
      </w:r>
    </w:p>
    <w:p w14:paraId="32E1E862" w14:textId="77777777" w:rsidR="00FF5A44" w:rsidRDefault="00FF5A44">
      <w:pPr>
        <w:pStyle w:val="aff4"/>
        <w:spacing w:after="120" w:line="360" w:lineRule="auto"/>
        <w:jc w:val="both"/>
        <w:rPr>
          <w:iCs/>
          <w:sz w:val="24"/>
          <w:szCs w:val="24"/>
        </w:rPr>
      </w:pPr>
    </w:p>
    <w:p w14:paraId="1F9CBA4A" w14:textId="77777777" w:rsidR="00FF5A44" w:rsidRDefault="0064096B">
      <w:pPr>
        <w:spacing w:after="120"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АРМ Оператора совместных закупок</w:t>
      </w:r>
    </w:p>
    <w:p w14:paraId="5AA375AF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карточке сводной спецификации совместного лота добавлен блок «Сведения о вариантах поставки лекарственного препарата» для во</w:t>
      </w:r>
      <w:r>
        <w:rPr>
          <w:sz w:val="24"/>
          <w:szCs w:val="24"/>
        </w:rPr>
        <w:t>зможности указания альтернативных вариантов поставки лекарственных препаратов без использования группы взаимозаменяемых лекарственных препаратов из ЕСКЛП. Блок отображается, если при создании спецификации не была выбрана группа взаимозаменяемых лекарственн</w:t>
      </w:r>
      <w:r>
        <w:rPr>
          <w:sz w:val="24"/>
          <w:szCs w:val="24"/>
        </w:rPr>
        <w:t>ых препаратов из ЕСКЛП. Для каждого варианта поставки лекарственного препарата при заполнении блока обязательно заполнение поля «Коэффициент кратности».</w:t>
      </w:r>
    </w:p>
    <w:p w14:paraId="4BE69B62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>в п</w:t>
      </w:r>
      <w:r>
        <w:rPr>
          <w:i/>
          <w:color w:val="000000" w:themeColor="text1"/>
          <w:sz w:val="24"/>
          <w:szCs w:val="24"/>
        </w:rPr>
        <w:t xml:space="preserve">. 5.3.4 </w:t>
      </w:r>
      <w:r>
        <w:rPr>
          <w:i/>
          <w:sz w:val="24"/>
          <w:szCs w:val="24"/>
        </w:rPr>
        <w:t>инструкции по АРМ Оператора СЗ 44-ФЗ от 26.04.2024 г.</w:t>
      </w:r>
    </w:p>
    <w:p w14:paraId="68E3CC26" w14:textId="77777777" w:rsidR="00FF5A44" w:rsidRDefault="00FF5A44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</w:p>
    <w:p w14:paraId="061BCDF0" w14:textId="77777777" w:rsidR="00FF5A44" w:rsidRDefault="0064096B">
      <w:pPr>
        <w:pStyle w:val="aff4"/>
        <w:keepNext/>
        <w:spacing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Подс</w:t>
      </w:r>
      <w:r>
        <w:rPr>
          <w:b/>
          <w:bCs/>
          <w:sz w:val="24"/>
          <w:szCs w:val="24"/>
        </w:rPr>
        <w:t>истема нормативно-справочной информации</w:t>
      </w:r>
    </w:p>
    <w:p w14:paraId="73B81486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карточке СПГЗ на лекарственные препараты, сведения по которым отсутствуют в ЕСКЛП, реализована возможность указания лекарственной формы путем выбора значений из справочника «Лекарственные формы» ЕИС.</w:t>
      </w:r>
    </w:p>
    <w:p w14:paraId="77F85C8D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</w:t>
      </w:r>
      <w:r>
        <w:rPr>
          <w:i/>
          <w:sz w:val="24"/>
          <w:szCs w:val="24"/>
        </w:rPr>
        <w:t xml:space="preserve"> изменения описаны в п. 4.2.2.2 инструкции администратора НСИ от 26.04.2024 г.</w:t>
      </w:r>
    </w:p>
    <w:p w14:paraId="0E038171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Доработан контроль на возможность удаления лицевого счета в карточке заказчика: счет недоступен для удаления, если он был использован в неудаленном проекте контракта. </w:t>
      </w:r>
    </w:p>
    <w:p w14:paraId="3789750A" w14:textId="77777777" w:rsidR="00FF5A44" w:rsidRDefault="00FF5A44">
      <w:pPr>
        <w:pStyle w:val="aff4"/>
        <w:spacing w:after="120" w:line="360" w:lineRule="auto"/>
        <w:contextualSpacing w:val="0"/>
        <w:jc w:val="both"/>
        <w:rPr>
          <w:sz w:val="24"/>
          <w:szCs w:val="24"/>
        </w:rPr>
      </w:pPr>
    </w:p>
    <w:p w14:paraId="2F5BC1D2" w14:textId="77777777" w:rsidR="00FF5A44" w:rsidRDefault="0064096B">
      <w:pPr>
        <w:spacing w:after="120" w:line="360" w:lineRule="auto"/>
        <w:ind w:left="360"/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АРМ Техн</w:t>
      </w:r>
      <w:r>
        <w:rPr>
          <w:b/>
          <w:bCs/>
          <w:sz w:val="24"/>
          <w:szCs w:val="24"/>
        </w:rPr>
        <w:t>ической поддержки</w:t>
      </w:r>
    </w:p>
    <w:p w14:paraId="6E27702D" w14:textId="77777777" w:rsidR="00FF5A44" w:rsidRDefault="0064096B">
      <w:pPr>
        <w:pStyle w:val="aff4"/>
        <w:numPr>
          <w:ilvl w:val="0"/>
          <w:numId w:val="2"/>
        </w:numPr>
        <w:spacing w:after="12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раздел «Объекты 223-ФЗ» добавлена возможность в договоре по 223-ФЗ изменять значение в поле «Связан с позицией ПЗ текущего года». </w:t>
      </w:r>
    </w:p>
    <w:p w14:paraId="7A0754D9" w14:textId="77777777" w:rsidR="00FF5A44" w:rsidRDefault="0064096B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4.3.4.3 инструкции по АРМ Технической поддержки от 26.04.2024 г.</w:t>
      </w:r>
    </w:p>
    <w:p w14:paraId="064EF542" w14:textId="77777777" w:rsidR="00FF5A44" w:rsidRDefault="00FF5A44"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14:paraId="1E239229" w14:textId="77777777" w:rsidR="00FF5A44" w:rsidRDefault="00FF5A44">
      <w:pPr>
        <w:spacing w:after="120" w:line="360" w:lineRule="auto"/>
        <w:ind w:left="360"/>
        <w:jc w:val="center"/>
        <w:rPr>
          <w:b/>
          <w:bCs/>
          <w:sz w:val="24"/>
          <w:szCs w:val="24"/>
        </w:rPr>
      </w:pPr>
    </w:p>
    <w:sectPr w:rsidR="00FF5A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AAD5F" w14:textId="77777777" w:rsidR="0064096B" w:rsidRDefault="0064096B">
      <w:pPr>
        <w:spacing w:line="240" w:lineRule="auto"/>
      </w:pPr>
      <w:r>
        <w:separator/>
      </w:r>
    </w:p>
  </w:endnote>
  <w:endnote w:type="continuationSeparator" w:id="0">
    <w:p w14:paraId="65BC594A" w14:textId="77777777" w:rsidR="0064096B" w:rsidRDefault="00640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14:paraId="16FC99D9" w14:textId="77777777" w:rsidR="00FF5A44" w:rsidRDefault="0064096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3B">
          <w:rPr>
            <w:noProof/>
          </w:rPr>
          <w:t>4</w:t>
        </w:r>
        <w:r>
          <w:fldChar w:fldCharType="end"/>
        </w:r>
      </w:p>
    </w:sdtContent>
  </w:sdt>
  <w:p w14:paraId="73A6D34D" w14:textId="77777777" w:rsidR="00FF5A44" w:rsidRDefault="00FF5A44"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44926" w14:textId="77777777" w:rsidR="0064096B" w:rsidRDefault="0064096B">
      <w:pPr>
        <w:spacing w:after="0"/>
      </w:pPr>
      <w:r>
        <w:separator/>
      </w:r>
    </w:p>
  </w:footnote>
  <w:footnote w:type="continuationSeparator" w:id="0">
    <w:p w14:paraId="76F1FA4D" w14:textId="77777777" w:rsidR="0064096B" w:rsidRDefault="006409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6E8"/>
    <w:multiLevelType w:val="hybridMultilevel"/>
    <w:tmpl w:val="49DAA03E"/>
    <w:lvl w:ilvl="0" w:tplc="D5DCE2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2E6B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4C8C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F632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143E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6419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1E75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7684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7446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70C84"/>
    <w:multiLevelType w:val="hybridMultilevel"/>
    <w:tmpl w:val="B71C1AA4"/>
    <w:lvl w:ilvl="0" w:tplc="70CE1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E6A09DA">
      <w:start w:val="1"/>
      <w:numFmt w:val="lowerLetter"/>
      <w:lvlText w:val="%2."/>
      <w:lvlJc w:val="left"/>
      <w:pPr>
        <w:ind w:left="1440" w:hanging="360"/>
      </w:pPr>
    </w:lvl>
    <w:lvl w:ilvl="2" w:tplc="4B7C47D0">
      <w:start w:val="1"/>
      <w:numFmt w:val="lowerRoman"/>
      <w:lvlText w:val="%3."/>
      <w:lvlJc w:val="right"/>
      <w:pPr>
        <w:ind w:left="2160" w:hanging="180"/>
      </w:pPr>
    </w:lvl>
    <w:lvl w:ilvl="3" w:tplc="48820F72">
      <w:start w:val="1"/>
      <w:numFmt w:val="decimal"/>
      <w:lvlText w:val="%4."/>
      <w:lvlJc w:val="left"/>
      <w:pPr>
        <w:ind w:left="2880" w:hanging="360"/>
      </w:pPr>
    </w:lvl>
    <w:lvl w:ilvl="4" w:tplc="EA7AEC26">
      <w:start w:val="1"/>
      <w:numFmt w:val="lowerLetter"/>
      <w:lvlText w:val="%5."/>
      <w:lvlJc w:val="left"/>
      <w:pPr>
        <w:ind w:left="3600" w:hanging="360"/>
      </w:pPr>
    </w:lvl>
    <w:lvl w:ilvl="5" w:tplc="0E72ABB2">
      <w:start w:val="1"/>
      <w:numFmt w:val="lowerRoman"/>
      <w:lvlText w:val="%6."/>
      <w:lvlJc w:val="right"/>
      <w:pPr>
        <w:ind w:left="4320" w:hanging="180"/>
      </w:pPr>
    </w:lvl>
    <w:lvl w:ilvl="6" w:tplc="7862D38A">
      <w:start w:val="1"/>
      <w:numFmt w:val="decimal"/>
      <w:lvlText w:val="%7."/>
      <w:lvlJc w:val="left"/>
      <w:pPr>
        <w:ind w:left="5040" w:hanging="360"/>
      </w:pPr>
    </w:lvl>
    <w:lvl w:ilvl="7" w:tplc="D97ACD90">
      <w:start w:val="1"/>
      <w:numFmt w:val="lowerLetter"/>
      <w:lvlText w:val="%8."/>
      <w:lvlJc w:val="left"/>
      <w:pPr>
        <w:ind w:left="5760" w:hanging="360"/>
      </w:pPr>
    </w:lvl>
    <w:lvl w:ilvl="8" w:tplc="883CDD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6BD"/>
    <w:multiLevelType w:val="hybridMultilevel"/>
    <w:tmpl w:val="64A44C00"/>
    <w:lvl w:ilvl="0" w:tplc="FADA3B1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C10A7E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D38055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6AE6A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6E24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51C71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0628C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A4573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907E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6605A4"/>
    <w:multiLevelType w:val="hybridMultilevel"/>
    <w:tmpl w:val="3E9C5AC8"/>
    <w:lvl w:ilvl="0" w:tplc="1A0E0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C340D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EA04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E460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4250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F841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CCC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D838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A4B2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52B06"/>
    <w:multiLevelType w:val="hybridMultilevel"/>
    <w:tmpl w:val="5DD2B5F0"/>
    <w:lvl w:ilvl="0" w:tplc="3E1AD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E03D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32E7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B44C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6261B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401F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4E0B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DA23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6A29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73F0F"/>
    <w:multiLevelType w:val="hybridMultilevel"/>
    <w:tmpl w:val="B6E0374C"/>
    <w:lvl w:ilvl="0" w:tplc="BA9EB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00E8EBE">
      <w:start w:val="1"/>
      <w:numFmt w:val="lowerLetter"/>
      <w:lvlText w:val="%2."/>
      <w:lvlJc w:val="left"/>
      <w:pPr>
        <w:ind w:left="1440" w:hanging="360"/>
      </w:pPr>
    </w:lvl>
    <w:lvl w:ilvl="2" w:tplc="8C4EED7A">
      <w:start w:val="1"/>
      <w:numFmt w:val="lowerRoman"/>
      <w:lvlText w:val="%3."/>
      <w:lvlJc w:val="right"/>
      <w:pPr>
        <w:ind w:left="2160" w:hanging="180"/>
      </w:pPr>
    </w:lvl>
    <w:lvl w:ilvl="3" w:tplc="EBE698FC">
      <w:start w:val="1"/>
      <w:numFmt w:val="decimal"/>
      <w:lvlText w:val="%4."/>
      <w:lvlJc w:val="left"/>
      <w:pPr>
        <w:ind w:left="2880" w:hanging="360"/>
      </w:pPr>
    </w:lvl>
    <w:lvl w:ilvl="4" w:tplc="7FD20CFA">
      <w:start w:val="1"/>
      <w:numFmt w:val="lowerLetter"/>
      <w:lvlText w:val="%5."/>
      <w:lvlJc w:val="left"/>
      <w:pPr>
        <w:ind w:left="3600" w:hanging="360"/>
      </w:pPr>
    </w:lvl>
    <w:lvl w:ilvl="5" w:tplc="3FA4D9FC">
      <w:start w:val="1"/>
      <w:numFmt w:val="lowerRoman"/>
      <w:lvlText w:val="%6."/>
      <w:lvlJc w:val="right"/>
      <w:pPr>
        <w:ind w:left="4320" w:hanging="180"/>
      </w:pPr>
    </w:lvl>
    <w:lvl w:ilvl="6" w:tplc="2C6EDAA8">
      <w:start w:val="1"/>
      <w:numFmt w:val="decimal"/>
      <w:lvlText w:val="%7."/>
      <w:lvlJc w:val="left"/>
      <w:pPr>
        <w:ind w:left="5040" w:hanging="360"/>
      </w:pPr>
    </w:lvl>
    <w:lvl w:ilvl="7" w:tplc="E2C67974">
      <w:start w:val="1"/>
      <w:numFmt w:val="lowerLetter"/>
      <w:lvlText w:val="%8."/>
      <w:lvlJc w:val="left"/>
      <w:pPr>
        <w:ind w:left="5760" w:hanging="360"/>
      </w:pPr>
    </w:lvl>
    <w:lvl w:ilvl="8" w:tplc="EB34EF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3E8E"/>
    <w:multiLevelType w:val="multilevel"/>
    <w:tmpl w:val="42BC7AFE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7" w15:restartNumberingAfterBreak="0">
    <w:nsid w:val="43600BC4"/>
    <w:multiLevelType w:val="hybridMultilevel"/>
    <w:tmpl w:val="0F7671EA"/>
    <w:lvl w:ilvl="0" w:tplc="B346F9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020A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6C16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E834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2CB24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04FA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6A6C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CE28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C02D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937E5"/>
    <w:multiLevelType w:val="hybridMultilevel"/>
    <w:tmpl w:val="0B900360"/>
    <w:lvl w:ilvl="0" w:tplc="D49CFB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EFE01DE">
      <w:start w:val="1"/>
      <w:numFmt w:val="lowerLetter"/>
      <w:lvlText w:val="%2."/>
      <w:lvlJc w:val="left"/>
      <w:pPr>
        <w:ind w:left="1440" w:hanging="360"/>
      </w:pPr>
    </w:lvl>
    <w:lvl w:ilvl="2" w:tplc="F9782248">
      <w:start w:val="1"/>
      <w:numFmt w:val="lowerRoman"/>
      <w:lvlText w:val="%3."/>
      <w:lvlJc w:val="right"/>
      <w:pPr>
        <w:ind w:left="2160" w:hanging="180"/>
      </w:pPr>
    </w:lvl>
    <w:lvl w:ilvl="3" w:tplc="A2225A04">
      <w:start w:val="1"/>
      <w:numFmt w:val="decimal"/>
      <w:lvlText w:val="%4."/>
      <w:lvlJc w:val="left"/>
      <w:pPr>
        <w:ind w:left="2880" w:hanging="360"/>
      </w:pPr>
    </w:lvl>
    <w:lvl w:ilvl="4" w:tplc="E86C0A20">
      <w:start w:val="1"/>
      <w:numFmt w:val="lowerLetter"/>
      <w:lvlText w:val="%5."/>
      <w:lvlJc w:val="left"/>
      <w:pPr>
        <w:ind w:left="3600" w:hanging="360"/>
      </w:pPr>
    </w:lvl>
    <w:lvl w:ilvl="5" w:tplc="AB069598">
      <w:start w:val="1"/>
      <w:numFmt w:val="lowerRoman"/>
      <w:lvlText w:val="%6."/>
      <w:lvlJc w:val="right"/>
      <w:pPr>
        <w:ind w:left="4320" w:hanging="180"/>
      </w:pPr>
    </w:lvl>
    <w:lvl w:ilvl="6" w:tplc="6B283A42">
      <w:start w:val="1"/>
      <w:numFmt w:val="decimal"/>
      <w:lvlText w:val="%7."/>
      <w:lvlJc w:val="left"/>
      <w:pPr>
        <w:ind w:left="5040" w:hanging="360"/>
      </w:pPr>
    </w:lvl>
    <w:lvl w:ilvl="7" w:tplc="6BC01336">
      <w:start w:val="1"/>
      <w:numFmt w:val="lowerLetter"/>
      <w:lvlText w:val="%8."/>
      <w:lvlJc w:val="left"/>
      <w:pPr>
        <w:ind w:left="5760" w:hanging="360"/>
      </w:pPr>
    </w:lvl>
    <w:lvl w:ilvl="8" w:tplc="59C8D6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D468A"/>
    <w:multiLevelType w:val="hybridMultilevel"/>
    <w:tmpl w:val="D5A0F400"/>
    <w:lvl w:ilvl="0" w:tplc="4FEA4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D541E3E">
      <w:start w:val="1"/>
      <w:numFmt w:val="lowerLetter"/>
      <w:lvlText w:val="%2."/>
      <w:lvlJc w:val="left"/>
      <w:pPr>
        <w:ind w:left="1440" w:hanging="360"/>
      </w:pPr>
    </w:lvl>
    <w:lvl w:ilvl="2" w:tplc="7F264DAC">
      <w:start w:val="1"/>
      <w:numFmt w:val="lowerRoman"/>
      <w:lvlText w:val="%3."/>
      <w:lvlJc w:val="right"/>
      <w:pPr>
        <w:ind w:left="2160" w:hanging="180"/>
      </w:pPr>
    </w:lvl>
    <w:lvl w:ilvl="3" w:tplc="0F6885EA">
      <w:start w:val="1"/>
      <w:numFmt w:val="decimal"/>
      <w:lvlText w:val="%4."/>
      <w:lvlJc w:val="left"/>
      <w:pPr>
        <w:ind w:left="2880" w:hanging="360"/>
      </w:pPr>
    </w:lvl>
    <w:lvl w:ilvl="4" w:tplc="094CF70A">
      <w:start w:val="1"/>
      <w:numFmt w:val="lowerLetter"/>
      <w:lvlText w:val="%5."/>
      <w:lvlJc w:val="left"/>
      <w:pPr>
        <w:ind w:left="3600" w:hanging="360"/>
      </w:pPr>
    </w:lvl>
    <w:lvl w:ilvl="5" w:tplc="E188A70C">
      <w:start w:val="1"/>
      <w:numFmt w:val="lowerRoman"/>
      <w:lvlText w:val="%6."/>
      <w:lvlJc w:val="right"/>
      <w:pPr>
        <w:ind w:left="4320" w:hanging="180"/>
      </w:pPr>
    </w:lvl>
    <w:lvl w:ilvl="6" w:tplc="0A56FF1A">
      <w:start w:val="1"/>
      <w:numFmt w:val="decimal"/>
      <w:lvlText w:val="%7."/>
      <w:lvlJc w:val="left"/>
      <w:pPr>
        <w:ind w:left="5040" w:hanging="360"/>
      </w:pPr>
    </w:lvl>
    <w:lvl w:ilvl="7" w:tplc="2E4229A4">
      <w:start w:val="1"/>
      <w:numFmt w:val="lowerLetter"/>
      <w:lvlText w:val="%8."/>
      <w:lvlJc w:val="left"/>
      <w:pPr>
        <w:ind w:left="5760" w:hanging="360"/>
      </w:pPr>
    </w:lvl>
    <w:lvl w:ilvl="8" w:tplc="C8DC46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13CCB"/>
    <w:multiLevelType w:val="hybridMultilevel"/>
    <w:tmpl w:val="E50A615A"/>
    <w:lvl w:ilvl="0" w:tplc="10226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4AAB93A">
      <w:start w:val="1"/>
      <w:numFmt w:val="lowerLetter"/>
      <w:lvlText w:val="%2."/>
      <w:lvlJc w:val="left"/>
      <w:pPr>
        <w:ind w:left="1440" w:hanging="360"/>
      </w:pPr>
    </w:lvl>
    <w:lvl w:ilvl="2" w:tplc="8DA2F3EC">
      <w:start w:val="1"/>
      <w:numFmt w:val="lowerRoman"/>
      <w:lvlText w:val="%3."/>
      <w:lvlJc w:val="right"/>
      <w:pPr>
        <w:ind w:left="2160" w:hanging="180"/>
      </w:pPr>
    </w:lvl>
    <w:lvl w:ilvl="3" w:tplc="2E5E167E">
      <w:start w:val="1"/>
      <w:numFmt w:val="decimal"/>
      <w:lvlText w:val="%4."/>
      <w:lvlJc w:val="left"/>
      <w:pPr>
        <w:ind w:left="2880" w:hanging="360"/>
      </w:pPr>
    </w:lvl>
    <w:lvl w:ilvl="4" w:tplc="67A458B4">
      <w:start w:val="1"/>
      <w:numFmt w:val="lowerLetter"/>
      <w:lvlText w:val="%5."/>
      <w:lvlJc w:val="left"/>
      <w:pPr>
        <w:ind w:left="3600" w:hanging="360"/>
      </w:pPr>
    </w:lvl>
    <w:lvl w:ilvl="5" w:tplc="6D56FD4E">
      <w:start w:val="1"/>
      <w:numFmt w:val="lowerRoman"/>
      <w:lvlText w:val="%6."/>
      <w:lvlJc w:val="right"/>
      <w:pPr>
        <w:ind w:left="4320" w:hanging="180"/>
      </w:pPr>
    </w:lvl>
    <w:lvl w:ilvl="6" w:tplc="4E465CBA">
      <w:start w:val="1"/>
      <w:numFmt w:val="decimal"/>
      <w:lvlText w:val="%7."/>
      <w:lvlJc w:val="left"/>
      <w:pPr>
        <w:ind w:left="5040" w:hanging="360"/>
      </w:pPr>
    </w:lvl>
    <w:lvl w:ilvl="7" w:tplc="D4B2631E">
      <w:start w:val="1"/>
      <w:numFmt w:val="lowerLetter"/>
      <w:lvlText w:val="%8."/>
      <w:lvlJc w:val="left"/>
      <w:pPr>
        <w:ind w:left="5760" w:hanging="360"/>
      </w:pPr>
    </w:lvl>
    <w:lvl w:ilvl="8" w:tplc="0ED435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B2CF7"/>
    <w:multiLevelType w:val="hybridMultilevel"/>
    <w:tmpl w:val="73EA35B4"/>
    <w:lvl w:ilvl="0" w:tplc="9AF40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5F3C048C">
      <w:start w:val="1"/>
      <w:numFmt w:val="lowerLetter"/>
      <w:lvlText w:val="%2."/>
      <w:lvlJc w:val="left"/>
      <w:pPr>
        <w:ind w:left="1440" w:hanging="360"/>
      </w:pPr>
    </w:lvl>
    <w:lvl w:ilvl="2" w:tplc="C332FA38">
      <w:start w:val="1"/>
      <w:numFmt w:val="lowerRoman"/>
      <w:lvlText w:val="%3."/>
      <w:lvlJc w:val="right"/>
      <w:pPr>
        <w:ind w:left="2160" w:hanging="180"/>
      </w:pPr>
    </w:lvl>
    <w:lvl w:ilvl="3" w:tplc="F3D6242C">
      <w:start w:val="1"/>
      <w:numFmt w:val="decimal"/>
      <w:lvlText w:val="%4."/>
      <w:lvlJc w:val="left"/>
      <w:pPr>
        <w:ind w:left="2880" w:hanging="360"/>
      </w:pPr>
    </w:lvl>
    <w:lvl w:ilvl="4" w:tplc="FF4245D0">
      <w:start w:val="1"/>
      <w:numFmt w:val="lowerLetter"/>
      <w:lvlText w:val="%5."/>
      <w:lvlJc w:val="left"/>
      <w:pPr>
        <w:ind w:left="3600" w:hanging="360"/>
      </w:pPr>
    </w:lvl>
    <w:lvl w:ilvl="5" w:tplc="A6185366">
      <w:start w:val="1"/>
      <w:numFmt w:val="lowerRoman"/>
      <w:lvlText w:val="%6."/>
      <w:lvlJc w:val="right"/>
      <w:pPr>
        <w:ind w:left="4320" w:hanging="180"/>
      </w:pPr>
    </w:lvl>
    <w:lvl w:ilvl="6" w:tplc="D89EE588">
      <w:start w:val="1"/>
      <w:numFmt w:val="decimal"/>
      <w:lvlText w:val="%7."/>
      <w:lvlJc w:val="left"/>
      <w:pPr>
        <w:ind w:left="5040" w:hanging="360"/>
      </w:pPr>
    </w:lvl>
    <w:lvl w:ilvl="7" w:tplc="3FB8F296">
      <w:start w:val="1"/>
      <w:numFmt w:val="lowerLetter"/>
      <w:lvlText w:val="%8."/>
      <w:lvlJc w:val="left"/>
      <w:pPr>
        <w:ind w:left="5760" w:hanging="360"/>
      </w:pPr>
    </w:lvl>
    <w:lvl w:ilvl="8" w:tplc="EC0418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71135"/>
    <w:multiLevelType w:val="hybridMultilevel"/>
    <w:tmpl w:val="AB2AFF66"/>
    <w:lvl w:ilvl="0" w:tplc="BB2E5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B220E61C">
      <w:start w:val="1"/>
      <w:numFmt w:val="lowerLetter"/>
      <w:lvlText w:val="%2."/>
      <w:lvlJc w:val="left"/>
      <w:pPr>
        <w:ind w:left="1440" w:hanging="360"/>
      </w:pPr>
    </w:lvl>
    <w:lvl w:ilvl="2" w:tplc="3E0CB930">
      <w:start w:val="1"/>
      <w:numFmt w:val="lowerRoman"/>
      <w:lvlText w:val="%3."/>
      <w:lvlJc w:val="right"/>
      <w:pPr>
        <w:ind w:left="2160" w:hanging="180"/>
      </w:pPr>
    </w:lvl>
    <w:lvl w:ilvl="3" w:tplc="09BA8A86">
      <w:start w:val="1"/>
      <w:numFmt w:val="decimal"/>
      <w:lvlText w:val="%4."/>
      <w:lvlJc w:val="left"/>
      <w:pPr>
        <w:ind w:left="2880" w:hanging="360"/>
      </w:pPr>
    </w:lvl>
    <w:lvl w:ilvl="4" w:tplc="C5108590">
      <w:start w:val="1"/>
      <w:numFmt w:val="lowerLetter"/>
      <w:lvlText w:val="%5."/>
      <w:lvlJc w:val="left"/>
      <w:pPr>
        <w:ind w:left="3600" w:hanging="360"/>
      </w:pPr>
    </w:lvl>
    <w:lvl w:ilvl="5" w:tplc="54B03CFC">
      <w:start w:val="1"/>
      <w:numFmt w:val="lowerRoman"/>
      <w:lvlText w:val="%6."/>
      <w:lvlJc w:val="right"/>
      <w:pPr>
        <w:ind w:left="4320" w:hanging="180"/>
      </w:pPr>
    </w:lvl>
    <w:lvl w:ilvl="6" w:tplc="202CB6EA">
      <w:start w:val="1"/>
      <w:numFmt w:val="decimal"/>
      <w:lvlText w:val="%7."/>
      <w:lvlJc w:val="left"/>
      <w:pPr>
        <w:ind w:left="5040" w:hanging="360"/>
      </w:pPr>
    </w:lvl>
    <w:lvl w:ilvl="7" w:tplc="C45EDF7E">
      <w:start w:val="1"/>
      <w:numFmt w:val="lowerLetter"/>
      <w:lvlText w:val="%8."/>
      <w:lvlJc w:val="left"/>
      <w:pPr>
        <w:ind w:left="5760" w:hanging="360"/>
      </w:pPr>
    </w:lvl>
    <w:lvl w:ilvl="8" w:tplc="90962F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7DC9"/>
    <w:multiLevelType w:val="hybridMultilevel"/>
    <w:tmpl w:val="C510A6EC"/>
    <w:lvl w:ilvl="0" w:tplc="494A1850">
      <w:start w:val="1"/>
      <w:numFmt w:val="bullet"/>
      <w:lvlText w:val="─"/>
      <w:lvlJc w:val="left"/>
      <w:pPr>
        <w:tabs>
          <w:tab w:val="left" w:pos="1260"/>
        </w:tabs>
        <w:ind w:left="1260" w:hanging="420"/>
      </w:pPr>
      <w:rPr>
        <w:rFonts w:ascii="Arial" w:hAnsi="Arial" w:cs="Arial" w:hint="default"/>
      </w:rPr>
    </w:lvl>
    <w:lvl w:ilvl="1" w:tplc="138075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A1C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98E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684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EAC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44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A6A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6AC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3012C68"/>
    <w:multiLevelType w:val="hybridMultilevel"/>
    <w:tmpl w:val="775800F4"/>
    <w:lvl w:ilvl="0" w:tplc="0BC297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6E1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922B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6C06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004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4E7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F4F5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F893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0245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4"/>
    <w:rsid w:val="00123FB2"/>
    <w:rsid w:val="003B3A3B"/>
    <w:rsid w:val="00454E45"/>
    <w:rsid w:val="0064096B"/>
    <w:rsid w:val="008E7F83"/>
    <w:rsid w:val="009244E9"/>
    <w:rsid w:val="00953498"/>
    <w:rsid w:val="009943D2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6A5"/>
  <w15:docId w15:val="{FFC927AE-887A-40A3-ADD7-36E605B6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ae">
    <w:name w:val="caption"/>
    <w:basedOn w:val="a"/>
    <w:next w:val="a"/>
    <w:link w:val="af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annotation text"/>
    <w:basedOn w:val="a"/>
    <w:link w:val="af1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afa">
    <w:name w:val="Название Знак"/>
    <w:basedOn w:val="a0"/>
    <w:link w:val="af9"/>
    <w:uiPriority w:val="10"/>
    <w:qFormat/>
    <w:rPr>
      <w:sz w:val="48"/>
      <w:szCs w:val="48"/>
    </w:rPr>
  </w:style>
  <w:style w:type="character" w:customStyle="1" w:styleId="aff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5">
    <w:name w:val="Текст сноски Знак"/>
    <w:link w:val="af4"/>
    <w:uiPriority w:val="99"/>
    <w:qFormat/>
    <w:rPr>
      <w:sz w:val="18"/>
    </w:rPr>
  </w:style>
  <w:style w:type="character" w:customStyle="1" w:styleId="ad">
    <w:name w:val="Текст концевой сноски Знак"/>
    <w:link w:val="ac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  <w:rPr>
      <w:rFonts w:asciiTheme="minorHAnsi" w:eastAsiaTheme="minorHAnsi" w:hAnsi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customStyle="1" w:styleId="aff5">
    <w:name w:val="Абзац списка Знак"/>
    <w:link w:val="aff4"/>
    <w:uiPriority w:val="34"/>
    <w:qFormat/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6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7">
    <w:name w:val="Верхний колонтитул Знак"/>
    <w:basedOn w:val="a0"/>
    <w:link w:val="af6"/>
    <w:uiPriority w:val="99"/>
    <w:qFormat/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af1">
    <w:name w:val="Текст примечания Знак"/>
    <w:basedOn w:val="a0"/>
    <w:link w:val="af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Название объекта Знак"/>
    <w:link w:val="ae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5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69AD-F5A6-4752-B013-A427B70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2024-04-27T05:23:00Z</dcterms:created>
  <dcterms:modified xsi:type="dcterms:W3CDTF">2024-04-27T05:23:00Z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A38CEF6A7AEA447684E07B64F0D4EA37_12</vt:lpwstr>
  </property>
</Properties>
</file>