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9"/>
        <w:jc w:val="center"/>
        <w:rPr>
          <w:rFonts w:cstheme="minorHAnsi"/>
          <w:b/>
          <w:color w:val="4472c4" w:themeColor="accent1"/>
          <w:sz w:val="28"/>
        </w:rPr>
      </w:pPr>
      <w:r>
        <w:rPr>
          <w:rFonts w:cstheme="minorHAnsi"/>
          <w:b/>
          <w:color w:val="4472c4" w:themeColor="accent1"/>
          <w:sz w:val="28"/>
        </w:rPr>
        <w:t xml:space="preserve">СОСТАВ ОБНОВЛЕНИЙ РИС ЗАКУПКИ ПК ОТ 19.09.2024 г.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«Планирование 44-ФЗ»</w:t>
      </w:r>
    </w:p>
    <w:p>
      <w:pPr>
        <w:pStyle w:val="aff5"/>
        <w:numPr>
          <w:numId w:val="4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лоте, находящемся в статусе «Опубликован в плане-графике», скрыта кнопка «Редактировать», если у лота имеется связанный проект контракта или связанный контракт. </w:t>
      </w:r>
    </w:p>
    <w:p>
      <w:pPr>
        <w:pStyle w:val="aff5"/>
        <w:spacing w:after="120" w:line="360" w:lineRule="auto"/>
        <w:contextualSpacing w:val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п. 5.8.2.1</w:t>
      </w:r>
      <w:r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 xml:space="preserve">инструкции по подсистеме Планирование 44-ФЗ от 19.09.2024 г.</w:t>
      </w:r>
    </w:p>
    <w:p>
      <w:pPr>
        <w:pStyle w:val="aff5"/>
        <w:numPr>
          <w:numId w:val="4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bookmarkStart w:id="0" w:name="OLE_LINK2"/>
      <w:r>
        <w:rPr>
          <w:rFonts w:cstheme="minorHAnsi"/>
          <w:sz w:val="24"/>
          <w:szCs w:val="24"/>
        </w:rPr>
        <w:t xml:space="preserve">В карточке лота доработаны контроли на корректность заполнения блока «Сроки поставки»:</w:t>
      </w:r>
      <w:bookmarkEnd w:id="0"/>
    </w:p>
    <w:p>
      <w:pPr>
        <w:pStyle w:val="--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если в лоте указан способ определения поставщика «Закупка у единственного поставщика на сумму, предусмотренную частью 12 статьи 93 закона 44-ФЗ»: </w:t>
      </w:r>
    </w:p>
    <w:p>
      <w:pPr>
        <w:pStyle w:val="2"/>
        <w:numPr>
          <w:numId w:val="14"/>
          <w:ilvl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в поле «Предусмотрено несколько этапов поставки» не допускается указание значения «Да»;</w:t>
      </w:r>
    </w:p>
    <w:p>
      <w:pPr>
        <w:pStyle w:val="2"/>
        <w:numPr>
          <w:numId w:val="14"/>
          <w:ilvl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в поле «Тип срока окончания поставки по контракту» должны быть указаны относительные сроки</w:t>
      </w:r>
      <w:r>
        <w:rPr>
          <w:rStyle w:val="a4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«Дни с даты начала поставки» или «Дни с даты заключения контракта»;</w:t>
      </w:r>
    </w:p>
    <w:p>
      <w:pPr>
        <w:pStyle w:val="2"/>
        <w:numPr>
          <w:numId w:val="14"/>
          <w:ilvl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в поле «Тип дней» срока окончания поставки по контракту допустимо указание только значения «Календарные»;</w:t>
      </w:r>
    </w:p>
    <w:p>
      <w:pPr>
        <w:pStyle w:val="--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если в поле «Предусмотрено несколько этапов поставки» установлено значение «Нет»: </w:t>
      </w:r>
    </w:p>
    <w:p>
      <w:pPr>
        <w:pStyle w:val="2"/>
        <w:numPr>
          <w:numId w:val="14"/>
          <w:ilvl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если окончание исполнения контракта указано в относительных сроках</w:t>
      </w:r>
      <w:r>
        <w:rPr>
          <w:rStyle w:val="a4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</w:rPr>
        <w:t xml:space="preserve">, то количество дней срока окончания исполнения контракта должно быть указано больше 0;</w:t>
      </w:r>
    </w:p>
    <w:p>
      <w:pPr>
        <w:pStyle w:val="2"/>
        <w:numPr>
          <w:numId w:val="14"/>
          <w:ilvl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если окончание исполнения контракта указано в абсолютных сроках, то дата, указанная в поле «Дата окончания исполнения контракта» не может быть ранее, чем дата, указанная в поле «Дата начала поставки»;</w:t>
      </w:r>
    </w:p>
    <w:p>
      <w:pPr>
        <w:pStyle w:val="--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если в поле «Предусмотрено несколько этапов поставки» установлено значение «Да»:</w:t>
      </w:r>
    </w:p>
    <w:p>
      <w:pPr>
        <w:pStyle w:val="2"/>
        <w:ind w:left="17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в этапе под номером 1 при указании относительных сроков исполнения контракта в поле «Количество дней» срока начала этапа должно быть указано значение 0;</w:t>
      </w:r>
    </w:p>
    <w:p>
      <w:pPr>
        <w:pStyle w:val="2"/>
        <w:ind w:left="17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при указании абсолютных сроков, значение в поле «Дата окончания этапа (с учетом приемки и оплаты)» не должно быть больше значения в поле «Дата окончания исполнения контракта» карточки лота.</w:t>
      </w:r>
    </w:p>
    <w:p>
      <w:pPr>
        <w:pStyle w:val="aff5"/>
        <w:spacing w:after="120" w:line="360" w:lineRule="auto"/>
        <w:contextualSpacing w:val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п. 5.12.2.4 инструкции по подсистеме Планирование 44-ФЗ от 19.09.2024 г.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«Планирование 223-ФЗ»</w:t>
      </w:r>
    </w:p>
    <w:p>
      <w:pPr>
        <w:pStyle w:val="aff5"/>
        <w:numPr>
          <w:numId w:val="4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При создании плана закупки реализованы предупреждающие контроли на не превышение максимального годового объема договоров и максимального объема закупок от ГОЗ в соответствии с ограничениями, предусмотренными положением о закупке.</w:t>
      </w:r>
    </w:p>
    <w:p>
      <w:pPr>
        <w:pStyle w:val="aff5"/>
        <w:spacing w:after="120" w:line="360" w:lineRule="auto"/>
        <w:contextualSpacing w:val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</w:t>
      </w:r>
      <w:r>
        <w:rPr>
          <w:rFonts w:ascii="Calibri" w:hAnsi="Calibri" w:eastAsia="Calibri" w:cs="Calibri"/>
          <w:i/>
          <w:color w:val="000000"/>
          <w:sz w:val="24"/>
        </w:rPr>
        <w:t xml:space="preserve">п. 6.2</w:t>
      </w:r>
      <w:r>
        <w:rPr>
          <w:rFonts w:ascii="Calibri" w:hAnsi="Calibri" w:eastAsia="Calibri" w:cs="Calibri"/>
          <w:color w:val="000000"/>
          <w:sz w:val="24"/>
        </w:rPr>
        <w:t xml:space="preserve"> </w:t>
      </w:r>
      <w:r>
        <w:rPr>
          <w:rFonts w:cstheme="minorHAnsi"/>
          <w:i/>
          <w:sz w:val="24"/>
          <w:szCs w:val="24"/>
        </w:rPr>
        <w:t xml:space="preserve">инструкции по подсистеме Планирование 223-ФЗ от 19.09.2024 г.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«Реестр контрактов 44-ФЗ»</w:t>
      </w:r>
    </w:p>
    <w:p>
      <w:pPr>
        <w:pStyle w:val="aff5"/>
        <w:numPr>
          <w:numId w:val="4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Реализована возможность формирования проекта контракта для закупок у единственного поставщика. </w:t>
      </w:r>
    </w:p>
    <w:p>
      <w:pPr>
        <w:pStyle w:val="aff5"/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Действие «Сформировать проект контракта» доступно в карточке лота со способом определения поставщика «Закупка у единственного поставщика», если для организации в справочнике «Заказчики» установлена возможность формирования проекта контракта с единственным поставщиком и формирование проекта контракта доступно для выбранного основания закупки у единственного поставщика в соответствии с настройками в модуле «Краевого уполномоченного органа». </w:t>
      </w:r>
    </w:p>
    <w:p>
      <w:pPr>
        <w:pStyle w:val="aff5"/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Проект контракта для заключения с единственным поставщиком может быть сформирован в структурированном и не структурированном видах в зависимости от установленных для основания настроек. </w:t>
      </w:r>
    </w:p>
    <w:p>
      <w:pPr>
        <w:pStyle w:val="aff9"/>
        <w:ind w:left="709" w:firstLine="0"/>
        <w:rPr>
          <w:rFonts w:asciiTheme="minorHAnsi" w:hAnsiTheme="minorHAnsi" w:cstheme="minorHAnsi"/>
          <w:b/>
          <w:bCs/>
          <w:lang w:bidi="en-US"/>
        </w:rPr>
      </w:pPr>
      <w:r>
        <w:rPr>
          <w:rFonts w:asciiTheme="minorHAnsi" w:hAnsiTheme="minorHAnsi" w:cstheme="minorHAnsi"/>
          <w:b/>
          <w:bCs/>
          <w:lang w:bidi="en-US"/>
        </w:rPr>
        <w:t xml:space="preserve">Обращаем внимание</w:t>
      </w:r>
      <w:r>
        <w:rPr>
          <w:rFonts w:asciiTheme="minorHAnsi" w:hAnsiTheme="minorHAnsi" w:cstheme="minorHAnsi"/>
          <w:lang w:bidi="en-US"/>
        </w:rPr>
        <w:t xml:space="preserve">, что функционал формирования проектов контрактов для заключения с единственным поставщиком будет доступен в ЕИС с 01.10.2024 г. только пилотным организациям. Об общем применении функционала будет сообщено дополнительно. </w:t>
      </w:r>
    </w:p>
    <w:p>
      <w:pPr>
        <w:pStyle w:val="aff5"/>
        <w:spacing w:after="120" w:line="360" w:lineRule="auto"/>
        <w:contextualSpacing w:val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п. 5.3.2 инструкции по подсистеме Реестр контрактов 44-ФЗ от 19.09.2024 г.</w:t>
      </w:r>
    </w:p>
    <w:p>
      <w:pPr>
        <w:pStyle w:val="aff5"/>
        <w:numPr>
          <w:numId w:val="4"/>
          <w:ilvl w:val="0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Реализована возможность формирования проекта контракта в структурированном виде по результатам несостоявшейся закупки, </w:t>
      </w:r>
      <w:bookmarkStart w:id="1" w:name="_Hlk177566506"/>
      <w:r>
        <w:rPr>
          <w:rFonts w:cstheme="minorHAnsi"/>
          <w:sz w:val="24"/>
          <w:szCs w:val="24"/>
        </w:rPr>
        <w:t xml:space="preserve">если в закупке отсутствуют участники, с которыми возможно формирование проекта контракта: </w:t>
      </w:r>
    </w:p>
    <w:p>
      <w:pPr>
        <w:pStyle w:val="--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закупка признана несостоявшейся по причине отсутствия заявок или отклонения всех поданных заявок;</w:t>
      </w:r>
    </w:p>
    <w:p>
      <w:pPr>
        <w:pStyle w:val="--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заключение контракта с участником, признанным победителем закупки, отменено и отсутствуют другие допущенные участники. </w:t>
      </w:r>
    </w:p>
    <w:p>
      <w:pPr>
        <w:pStyle w:val="--"/>
        <w:numPr>
          <w:numId w:val="0"/>
          <w:ilvl w:val="0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Действие «Сформировать проект контракта» доступно в карточке закупки, если для организации в справочнике «Заказчики» установлена возможность формирования проекта контракта с любым поставщиком по результатам несостоявшейся закупки. </w:t>
      </w:r>
    </w:p>
    <w:p>
      <w:pPr>
        <w:pStyle w:val="aff9"/>
        <w:ind w:left="709" w:firstLine="0"/>
        <w:rPr>
          <w:rFonts w:asciiTheme="minorHAnsi" w:hAnsiTheme="minorHAnsi" w:cstheme="minorHAnsi"/>
          <w:b/>
          <w:bCs/>
          <w:lang w:bidi="en-US"/>
        </w:rPr>
      </w:pPr>
      <w:r>
        <w:rPr>
          <w:rFonts w:asciiTheme="minorHAnsi" w:hAnsiTheme="minorHAnsi" w:cstheme="minorHAnsi"/>
          <w:b/>
          <w:bCs/>
          <w:lang w:bidi="en-US"/>
        </w:rPr>
        <w:t xml:space="preserve">Обращаем внимание</w:t>
      </w:r>
      <w:r>
        <w:rPr>
          <w:rFonts w:asciiTheme="minorHAnsi" w:hAnsiTheme="minorHAnsi" w:cstheme="minorHAnsi"/>
          <w:lang w:bidi="en-US"/>
        </w:rPr>
        <w:t xml:space="preserve">, что функционал формирования проектов контрактов в структурированном виде по результатам несостоявшейся закупки будет доступен в ЕИС с 01.10.2024 г. только пилотным организациям. Об общем применении функционала будет сообщено дополнительно. </w:t>
      </w:r>
      <w:bookmarkEnd w:id="1"/>
    </w:p>
    <w:p>
      <w:pPr>
        <w:pStyle w:val="aff5"/>
        <w:spacing w:after="120" w:line="360" w:lineRule="auto"/>
        <w:contextualSpacing w:val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п. 5.3 инструкции по подсистеме Реестр контрактов 44-ФЗ от 19.09.2024 г.</w:t>
      </w:r>
    </w:p>
    <w:p>
      <w:pPr>
        <w:pStyle w:val="aff5"/>
        <w:numPr>
          <w:numId w:val="4"/>
          <w:ilvl w:val="0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Для проектов контрактов реализована автоматическая загрузка из ЕИС протоколов разногласий. </w:t>
      </w:r>
    </w:p>
    <w:p>
      <w:pPr>
        <w:spacing w:after="120" w:line="360" w:lineRule="auto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При получении из ЕИС протокола разногласий проект контракта</w:t>
      </w:r>
      <w:r>
        <w:rPr>
          <w:rFonts w:cstheme="minorHAnsi"/>
          <w:sz w:val="24"/>
          <w:szCs w:val="24"/>
        </w:rPr>
        <w:t xml:space="preserve">, не находящийся в процессе внесения изменений или регистрации внесенных изменений,</w:t>
      </w:r>
      <w:r>
        <w:rPr>
          <w:rFonts w:cstheme="minorHAnsi"/>
          <w:sz w:val="24"/>
          <w:szCs w:val="24"/>
        </w:rPr>
        <w:t xml:space="preserve"> переходит в статус «Загружен протокол разногласий», в карточке отображается блок «Протокол разногласий» с информацией о протоколе и доступно внесение изменений в проект контракта. </w:t>
      </w:r>
      <w:r>
        <w:rPr>
          <w:rFonts w:cstheme="minorHAnsi"/>
          <w:sz w:val="24"/>
          <w:szCs w:val="24"/>
        </w:rPr>
        <w:t xml:space="preserve">Для проектов контрактов, находящихся в процессе внесения изменений или регистрации внесенных изменений, смена статуса на «Загружен протокол разногласий» не производится, но загруженные сведения также отображаются в блоке «Протокол разногласий».</w:t>
      </w:r>
    </w:p>
    <w:p>
      <w:pPr>
        <w:pStyle w:val="aff5"/>
        <w:spacing w:after="120" w:line="360" w:lineRule="auto"/>
        <w:contextualSpacing w:val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п. </w:t>
      </w:r>
      <w:r>
        <w:rPr>
          <w:rFonts w:cstheme="minorHAnsi"/>
          <w:i/>
          <w:sz w:val="24"/>
          <w:szCs w:val="24"/>
        </w:rPr>
        <w:t xml:space="preserve">5.</w:t>
      </w:r>
      <w:r>
        <w:rPr>
          <w:rFonts w:cstheme="minorHAnsi"/>
          <w:i/>
          <w:sz w:val="24"/>
          <w:szCs w:val="24"/>
        </w:rPr>
        <w:t xml:space="preserve">7</w:t>
      </w:r>
      <w:r>
        <w:rPr>
          <w:rFonts w:cstheme="minorHAnsi"/>
          <w:i/>
          <w:sz w:val="24"/>
          <w:szCs w:val="24"/>
        </w:rPr>
        <w:t xml:space="preserve"> инструкции по подсистеме Реестр контрактов 44-ФЗ от 19.09.2024 г.</w:t>
      </w:r>
    </w:p>
    <w:p>
      <w:pPr>
        <w:pStyle w:val="aff5"/>
        <w:numPr>
          <w:numId w:val="4"/>
          <w:ilvl w:val="0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блок «Стороны» карточки контракта добавлено новое поле «Объём привлечения субподрядчиков из числа СМП, СОНКО», в котором доступно указание процента привлечения субподрядчиков без заполнения данных о субподрядчиках.</w:t>
      </w:r>
    </w:p>
    <w:p>
      <w:pPr>
        <w:pStyle w:val="aff5"/>
        <w:spacing w:after="120" w:line="360" w:lineRule="auto"/>
        <w:contextualSpacing w:val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п. 6.2.5 инструкции по подсистеме Реестр контрактов 44-ФЗ от 19.09.2024 г.</w:t>
      </w:r>
    </w:p>
    <w:p>
      <w:pPr>
        <w:pStyle w:val="aff5"/>
        <w:numPr>
          <w:numId w:val="4"/>
          <w:ilvl w:val="0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карточке контракта при добавлении получателей платежей по контракту в блоке «Реквизиты и получатели платежей по контракту» в окне «Добавление получателя платежа» добавлены ограничения на выбор типа счета получателя: </w:t>
      </w:r>
    </w:p>
    <w:p>
      <w:pPr>
        <w:pStyle w:val="--"/>
      </w:pPr>
      <w:r>
        <w:t xml:space="preserve">при указании в поле «Тип получателя» значения «Контрагент для уплаты налогов», поле «Тип счета» автоматически заполняется значением «Счет для уплаты налогов» и недоступно для редактирования;</w:t>
      </w:r>
    </w:p>
    <w:p>
      <w:pPr>
        <w:pStyle w:val="--"/>
      </w:pPr>
      <w:r>
        <w:t xml:space="preserve">при указании в поле «Тип получателя» значения «Контрагент для уплаты неустоек (штрафов, пеней)», поле «Тип счета» автоматически заполняется значением «Счет для перечисления денежных средств» и недоступно для редактирования;</w:t>
      </w:r>
    </w:p>
    <w:p>
      <w:pPr>
        <w:pStyle w:val="--"/>
        <w:numPr>
          <w:numId w:val="0"/>
          <w:ilvl w:val="0"/>
        </w:numPr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При указании в поле «Тип получателя» значения «Контрагент для основных платежей по контракту» и в поле «Наименование организации» организации-поставщика, являющегося федеральной, государственной или муниципальной организацией:</w:t>
      </w:r>
    </w:p>
    <w:p>
      <w:pPr>
        <w:pStyle w:val="--"/>
      </w:pPr>
      <w:r>
        <w:t xml:space="preserve">в поле «Тип счета» для выбора доступны значения: «Лицевой счет ФК», «Лицевой счет ФО»</w:t>
      </w:r>
    </w:p>
    <w:p>
      <w:pPr>
        <w:pStyle w:val="--"/>
      </w:pPr>
      <w:r>
        <w:t xml:space="preserve">поле</w:t>
      </w:r>
      <w:r>
        <w:t xml:space="preserve"> «КБК» обязательно для заполнения.</w:t>
      </w:r>
    </w:p>
    <w:p>
      <w:pPr>
        <w:pStyle w:val="aff5"/>
        <w:spacing w:after="120" w:line="360" w:lineRule="auto"/>
        <w:contextualSpacing w:val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п. </w:t>
      </w:r>
      <w:r>
        <w:rPr>
          <w:rFonts w:cstheme="minorHAnsi"/>
          <w:i/>
          <w:sz w:val="24"/>
          <w:szCs w:val="24"/>
        </w:rPr>
        <w:t xml:space="preserve">6.2.6</w:t>
      </w:r>
      <w:r>
        <w:rPr>
          <w:rFonts w:cstheme="minorHAnsi"/>
          <w:i/>
          <w:sz w:val="24"/>
          <w:szCs w:val="24"/>
        </w:rPr>
        <w:t xml:space="preserve"> инструкции по подсистеме Реестр контрактов 44-ФЗ от 19.09.2024 г.</w:t>
      </w:r>
    </w:p>
    <w:p>
      <w:pPr>
        <w:pStyle w:val="aff5"/>
        <w:numPr>
          <w:numId w:val="4"/>
          <w:ilvl w:val="0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контракте по нажатию на кнопку «Зарегистрировать в ЕИС» реализованы контроли на корректность заполнения блока «Реквизиты и получатели платежей по контракту»:</w:t>
      </w:r>
    </w:p>
    <w:p>
      <w:pPr>
        <w:pStyle w:val="--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если в поле «Суммы, уплачиваемые поставщику, будут уменьшены на размер налогов, сборов и иных обязательных платежей» карточки контракта установлено значение «Да», то в блоке «Реквизиты и получатели платежей» </w:t>
      </w:r>
      <w:r>
        <w:rPr>
          <w:rFonts w:asciiTheme="minorHAnsi" w:hAnsiTheme="minorHAnsi" w:cstheme="minorHAnsi"/>
        </w:rPr>
        <w:t xml:space="preserve">должен быть указан хотя бы один получатель с типом «Контрагент для уплаты налогов»;</w:t>
      </w:r>
    </w:p>
    <w:p>
      <w:pPr>
        <w:pStyle w:val="--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если в поле «Предусмотрено удержание неустоек из плановых платежей» карточки контракта установлено значение «Да», то в блоке «Реквизиты и получатели платежей» должен быть указан хотя бы один получатель с типом «Контрагент для уплаты неустоек (штрафов, пеней)».</w:t>
      </w:r>
    </w:p>
    <w:p>
      <w:pPr>
        <w:pStyle w:val="aff5"/>
        <w:numPr>
          <w:numId w:val="4"/>
          <w:ilvl w:val="0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карточке контракта, заключенного с единственным поставщиком в соответствии с п.25 ч.1 ст.93 44-ФЗ и требующего согласования заключения с контрольным органом, по действию «Зарегистрировать в ЕИС» реализован контроль на обязательность прикрепления документа с типом «Документ о согласовании контрольным органом в сфере закупок заключения контракта с единственным поставщиком (подрядчиком, исполнителем)».  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«Реестр договоров 223-ФЗ»</w:t>
      </w:r>
    </w:p>
    <w:p>
      <w:pPr>
        <w:pStyle w:val="aff5"/>
        <w:numPr>
          <w:numId w:val="4"/>
          <w:ilvl w:val="0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При регистрации окончательного исполнения по последнему этапу договора реализован контроль на указание полной суммы оплаты по договору – при регистрации окончательного исполнения сумма платежей всех исполнений договора должна быть равна цене договора.</w:t>
      </w:r>
    </w:p>
    <w:p>
      <w:pPr>
        <w:pStyle w:val="aff5"/>
        <w:spacing w:after="120" w:line="360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Если сумма исполнения не соответствует цене договора, то договор не может быть полностью исполнен.  </w:t>
      </w:r>
    </w:p>
    <w:p>
      <w:pPr>
        <w:pStyle w:val="aff5"/>
        <w:numPr>
          <w:numId w:val="4"/>
          <w:ilvl w:val="0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карточке договора по действию «Отправить на публикацию в ЕИС» реализован контроль на заполнение обязательных для отправки в ЕИС данных в карточке поставщика: если в карточке поставщика, с которым заключается договор, заполнены не все обязательные данные, то выводится сообщение об ошибке. Для указания недостающих данных необходимо подать заявку в ГКУ «Центр организации закупок». 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«Аналитика»</w:t>
      </w:r>
    </w:p>
    <w:p>
      <w:pPr>
        <w:pStyle w:val="aff5"/>
        <w:numPr>
          <w:numId w:val="4"/>
          <w:ilvl w:val="0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При вводе данных плана контрактации в разделах «Сбор данных для плана контрактции» и «Формирование плана контрактации» изменена логика заполнения поля с плановым процентом контрактации – доступен полностью ручной ввод значений.</w:t>
      </w:r>
    </w:p>
    <w:p>
      <w:pPr>
        <w:pStyle w:val="aff5"/>
        <w:spacing w:after="120" w:line="360" w:lineRule="auto"/>
        <w:contextualSpacing w:val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п. 4</w:t>
      </w:r>
      <w:r>
        <w:rPr>
          <w:rFonts w:cstheme="minorHAnsi"/>
          <w:i/>
          <w:sz w:val="24"/>
          <w:szCs w:val="24"/>
          <w:highlight w:val="white"/>
        </w:rPr>
        <w:t xml:space="preserve">.3.1 инструкции по </w:t>
      </w:r>
      <w:r>
        <w:rPr>
          <w:rFonts w:cstheme="minorHAnsi"/>
          <w:i/>
          <w:sz w:val="24"/>
          <w:szCs w:val="24"/>
        </w:rPr>
        <w:t xml:space="preserve">работе с разделом «Формирование плана контрактации» от 19.09.2024 г.</w:t>
      </w:r>
    </w:p>
    <w:p>
      <w:pPr>
        <w:pStyle w:val="aff5"/>
        <w:numPr>
          <w:numId w:val="4"/>
          <w:ilvl w:val="0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выгрузки «Закупки в рамках региональных проектов по 44-ФЗ», «Закупки в рамках региональных проектов по 223-ФЗ», «Осуществление закупок в рамках национальных проектов» и «Осуществление закупок в рамках национальных проектов 223-ФЗ» добавлены параметры:</w:t>
      </w:r>
    </w:p>
    <w:p>
      <w:pPr>
        <w:pStyle w:val="--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«Отображать нераспределенную экономию»;</w:t>
      </w:r>
    </w:p>
    <w:p>
      <w:pPr>
        <w:pStyle w:val="--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«Отображать исполнение»;</w:t>
      </w:r>
    </w:p>
    <w:p>
      <w:pPr>
        <w:pStyle w:val="--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«Блоки для отображения колонки динамика».</w:t>
      </w:r>
    </w:p>
    <w:p>
      <w:pPr>
        <w:pStyle w:val="aff5"/>
        <w:spacing w:after="120" w:line="360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Также в выгрузки добавлены новые колонки:</w:t>
      </w:r>
    </w:p>
    <w:p>
      <w:pPr>
        <w:pStyle w:val="--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«%» для колонки «Заключено контрактов» – для выгрузок по 44-ФЗ;</w:t>
      </w:r>
    </w:p>
    <w:p>
      <w:pPr>
        <w:pStyle w:val="--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«%» для колонки «Заключено договоров» – для выгрузок по 223-ФЗ;</w:t>
      </w:r>
    </w:p>
    <w:p>
      <w:pPr>
        <w:pStyle w:val="--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«%» для колонки «Объявлено закупок»</w:t>
      </w:r>
    </w:p>
    <w:p>
      <w:pPr>
        <w:pStyle w:val="--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В блок «Не начато процедур закупок» добавлены колонки «Всего» и «Динамика».</w:t>
      </w:r>
    </w:p>
    <w:p>
      <w:pPr>
        <w:pStyle w:val="--"/>
        <w:numPr>
          <w:numId w:val="0"/>
          <w:ilvl w:val="0"/>
        </w:numPr>
        <w:ind w:left="1208" w:hanging="357"/>
      </w:pPr>
    </w:p>
    <w:p>
      <w:pPr>
        <w:pStyle w:val="aff5"/>
        <w:spacing w:after="120" w:line="360" w:lineRule="auto"/>
        <w:ind w:left="714"/>
        <w:contextualSpacing w:val="0"/>
        <w:jc w:val="both"/>
        <w:rPr>
          <w:rFonts w:cstheme="minorHAnsi"/>
          <w:sz w:val="24"/>
          <w:szCs w:val="24"/>
        </w:rPr>
      </w:pPr>
    </w:p>
    <w:sectPr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SimSun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557210274"/>
    </w:sdtPr>
    <w:sdtContent>
      <w:p>
        <w:pPr>
          <w:pStyle w:val="afc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</w:p>
    </w:sdtContent>
  </w:sdt>
  <w:p>
    <w:pPr>
      <w:pStyle w:val="af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id="1">
    <w:p>
      <w:pPr>
        <w:pStyle w:val="af4"/>
      </w:pPr>
      <w:r>
        <w:rPr>
          <w:rStyle w:val="a4"/>
        </w:rPr>
        <w:footnoteRef/>
      </w:r>
      <w:r>
        <w:t xml:space="preserve"> Относительные сроки – формат срока поставки, при котором в полях «Тип срока окончания поставки по контракту» и «Тип срока окончания исполнения контракта» указано значение «Дни с даты начала поставки» или «Дни с даты заключения контракта».</w:t>
      </w:r>
    </w:p>
  </w:footnote>
  <w:footnote w:id="2">
    <w:p>
      <w:pPr>
        <w:pStyle w:val="af4"/>
      </w:pPr>
      <w:r>
        <w:rPr>
          <w:rStyle w:val="a4"/>
        </w:rPr>
        <w:footnoteRef/>
      </w:r>
      <w:r>
        <w:t xml:space="preserve"> Абсолютные сроки – формат срока поставки, при котором в полях «Тип срока начала поставки по контракту», полях «Тип срока окончания поставки по контракту» и «Тип срока окончания исполнения контракта» указано значение «Фиксированная дата» или «Не позднее фиксированной даты».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A3B4DB5A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 w:eastAsia="Symbol" w:cs="Symbol"/>
      </w:rPr>
    </w:lvl>
    <w:lvl w:ilvl="1" w:tplc="8C565EA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eastAsia="Courier New" w:cs="Courier New"/>
      </w:rPr>
    </w:lvl>
    <w:lvl w:ilvl="2" w:tplc="9760A34A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eastAsia="Wingdings" w:cs="Wingdings"/>
      </w:rPr>
    </w:lvl>
    <w:lvl w:ilvl="3" w:tplc="BF047826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eastAsia="Symbol" w:cs="Symbol"/>
      </w:rPr>
    </w:lvl>
    <w:lvl w:ilvl="4" w:tplc="E3C21BAA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eastAsia="Courier New" w:cs="Courier New"/>
      </w:rPr>
    </w:lvl>
    <w:lvl w:ilvl="5" w:tplc="8FC022BC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eastAsia="Wingdings" w:cs="Wingdings"/>
      </w:rPr>
    </w:lvl>
    <w:lvl w:ilvl="6" w:tplc="10501784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eastAsia="Symbol" w:cs="Symbol"/>
      </w:rPr>
    </w:lvl>
    <w:lvl w:ilvl="7" w:tplc="6B6A262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eastAsia="Courier New" w:cs="Courier New"/>
      </w:rPr>
    </w:lvl>
    <w:lvl w:ilvl="8" w:tplc="FA289B6C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pStyle w:val="--"/>
      <w:lvlText w:val=""/>
      <w:lvlJc w:val="left"/>
      <w:pPr>
        <w:ind w:left="1208" w:hanging="357"/>
      </w:pPr>
      <w:rPr>
        <w:rFonts w:hint="default"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571"/>
        </w:tabs>
        <w:ind w:left="1928" w:hanging="357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2517" w:hanging="357"/>
      </w:pPr>
      <w:rPr>
        <w:rFonts w:hint="default" w:ascii="Symbol" w:hAnsi="Symbol"/>
      </w:rPr>
    </w:lvl>
    <w:lvl w:ilvl="3">
      <w:start w:val="1"/>
      <w:numFmt w:val="bullet"/>
      <w:lvlText w:val="­"/>
      <w:lvlJc w:val="left"/>
      <w:pPr>
        <w:ind w:left="3368" w:hanging="357"/>
      </w:pPr>
      <w:rPr>
        <w:rFonts w:hint="default" w:ascii="Courier New" w:hAnsi="Courier New"/>
      </w:rPr>
    </w:lvl>
    <w:lvl w:ilvl="4">
      <w:start w:val="1"/>
      <w:numFmt w:val="decimal"/>
      <w:lvlText w:val="%1.%2.%3.%4.%5."/>
      <w:lvlJc w:val="left"/>
      <w:pPr>
        <w:ind w:left="4088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8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357"/>
      </w:pPr>
      <w:rPr>
        <w:rFonts w:hint="default"/>
      </w:rPr>
    </w:lvl>
  </w:abstractNum>
  <w:abstractNum w:abstractNumId="2">
    <w:multiLevelType w:val="hybridMultilevel"/>
    <w:lvl w:ilvl="0" w:tplc="526A29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9FF6112A">
      <w:start w:val="1"/>
      <w:numFmt w:val="lowerLetter"/>
      <w:lvlText w:val="%2."/>
      <w:lvlJc w:val="left"/>
      <w:pPr>
        <w:ind w:left="1440" w:hanging="360"/>
      </w:pPr>
    </w:lvl>
    <w:lvl w:ilvl="2" w:tplc="D562C012">
      <w:start w:val="1"/>
      <w:numFmt w:val="lowerRoman"/>
      <w:lvlText w:val="%3."/>
      <w:lvlJc w:val="right"/>
      <w:pPr>
        <w:ind w:left="2160" w:hanging="180"/>
      </w:pPr>
    </w:lvl>
    <w:lvl w:ilvl="3" w:tplc="14E298B0">
      <w:start w:val="1"/>
      <w:numFmt w:val="decimal"/>
      <w:lvlText w:val="%4."/>
      <w:lvlJc w:val="left"/>
      <w:pPr>
        <w:ind w:left="2880" w:hanging="360"/>
      </w:pPr>
    </w:lvl>
    <w:lvl w:ilvl="4" w:tplc="241E1A68">
      <w:start w:val="1"/>
      <w:numFmt w:val="lowerLetter"/>
      <w:lvlText w:val="%5."/>
      <w:lvlJc w:val="left"/>
      <w:pPr>
        <w:ind w:left="3600" w:hanging="360"/>
      </w:pPr>
    </w:lvl>
    <w:lvl w:ilvl="5" w:tplc="48A2F1A6">
      <w:start w:val="1"/>
      <w:numFmt w:val="lowerRoman"/>
      <w:lvlText w:val="%6."/>
      <w:lvlJc w:val="right"/>
      <w:pPr>
        <w:ind w:left="4320" w:hanging="180"/>
      </w:pPr>
    </w:lvl>
    <w:lvl w:ilvl="6" w:tplc="F36AA9CA">
      <w:start w:val="1"/>
      <w:numFmt w:val="decimal"/>
      <w:lvlText w:val="%7."/>
      <w:lvlJc w:val="left"/>
      <w:pPr>
        <w:ind w:left="5040" w:hanging="360"/>
      </w:pPr>
    </w:lvl>
    <w:lvl w:ilvl="7" w:tplc="259C3FF8">
      <w:start w:val="1"/>
      <w:numFmt w:val="lowerLetter"/>
      <w:lvlText w:val="%8."/>
      <w:lvlJc w:val="left"/>
      <w:pPr>
        <w:ind w:left="5760" w:hanging="360"/>
      </w:pPr>
    </w:lvl>
    <w:lvl w:ilvl="8" w:tplc="A27ACC4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plc="5790A2A0">
      <w:start w:val="1"/>
      <w:numFmt w:val="bullet"/>
      <w:lvlText w:val=""/>
      <w:lvlJc w:val="left"/>
      <w:pPr>
        <w:ind w:left="1571" w:hanging="360"/>
      </w:pPr>
      <w:rPr>
        <w:rFonts w:hint="default" w:ascii="Symbol" w:hAnsi="Symbol"/>
        <w:sz w:val="24"/>
      </w:rPr>
    </w:lvl>
    <w:lvl w:ilvl="1" w:tplc="8086FCE6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A9FCCDF4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B2B427DA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424E1372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485C6894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5D142FA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891C9692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F5F2EBCC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 w:tplc="D5F00C36">
      <w:start w:val="1"/>
      <w:numFmt w:val="bullet"/>
      <w:lvlText w:val=""/>
      <w:lvlJc w:val="left"/>
      <w:pPr>
        <w:ind w:left="1571" w:hanging="360"/>
      </w:pPr>
      <w:rPr>
        <w:rFonts w:hint="default" w:ascii="Symbol" w:hAnsi="Symbol"/>
      </w:rPr>
    </w:lvl>
    <w:lvl w:ilvl="1" w:tplc="CB9A7332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A802E1BC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9CA4D19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4C523406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1E983648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B22E2A1C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B764121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543A921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 w:tplc="49825E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C7B04332">
      <w:start w:val="1"/>
      <w:numFmt w:val="lowerLetter"/>
      <w:lvlText w:val="%2."/>
      <w:lvlJc w:val="left"/>
      <w:pPr>
        <w:ind w:left="1440" w:hanging="360"/>
      </w:pPr>
    </w:lvl>
    <w:lvl w:ilvl="2" w:tplc="5EE29FF8">
      <w:start w:val="1"/>
      <w:numFmt w:val="lowerRoman"/>
      <w:lvlText w:val="%3."/>
      <w:lvlJc w:val="right"/>
      <w:pPr>
        <w:ind w:left="2160" w:hanging="180"/>
      </w:pPr>
    </w:lvl>
    <w:lvl w:ilvl="3" w:tplc="9F864764">
      <w:start w:val="1"/>
      <w:numFmt w:val="decimal"/>
      <w:lvlText w:val="%4."/>
      <w:lvlJc w:val="left"/>
      <w:pPr>
        <w:ind w:left="2880" w:hanging="360"/>
      </w:pPr>
    </w:lvl>
    <w:lvl w:ilvl="4" w:tplc="59AC7BA6">
      <w:start w:val="1"/>
      <w:numFmt w:val="lowerLetter"/>
      <w:lvlText w:val="%5."/>
      <w:lvlJc w:val="left"/>
      <w:pPr>
        <w:ind w:left="3600" w:hanging="360"/>
      </w:pPr>
    </w:lvl>
    <w:lvl w:ilvl="5" w:tplc="0F6E46BA">
      <w:start w:val="1"/>
      <w:numFmt w:val="lowerRoman"/>
      <w:lvlText w:val="%6."/>
      <w:lvlJc w:val="right"/>
      <w:pPr>
        <w:ind w:left="4320" w:hanging="180"/>
      </w:pPr>
    </w:lvl>
    <w:lvl w:ilvl="6" w:tplc="CA9EC824">
      <w:start w:val="1"/>
      <w:numFmt w:val="decimal"/>
      <w:lvlText w:val="%7."/>
      <w:lvlJc w:val="left"/>
      <w:pPr>
        <w:ind w:left="5040" w:hanging="360"/>
      </w:pPr>
    </w:lvl>
    <w:lvl w:ilvl="7" w:tplc="B8F8B46C">
      <w:start w:val="1"/>
      <w:numFmt w:val="lowerLetter"/>
      <w:lvlText w:val="%8."/>
      <w:lvlJc w:val="left"/>
      <w:pPr>
        <w:ind w:left="5760" w:hanging="360"/>
      </w:pPr>
    </w:lvl>
    <w:lvl w:ilvl="8" w:tplc="31D0653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CA549FF8">
      <w:start w:val="1"/>
      <w:numFmt w:val="bullet"/>
      <w:lvlText w:val=""/>
      <w:lvlJc w:val="left"/>
      <w:pPr>
        <w:ind w:left="1571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 w:tplc="9790D2DC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FCE6B70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5F81C0A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62AA8AA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9FC30A6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C75CD064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97EA67A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0708C66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CE96C94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 w:tplc="603653EE">
      <w:start w:val="1"/>
      <w:numFmt w:val="bullet"/>
      <w:pStyle w:val="1"/>
      <w:lvlText w:val=""/>
      <w:lvlJc w:val="left"/>
      <w:pPr>
        <w:ind w:left="1571" w:hanging="360"/>
      </w:pPr>
      <w:rPr>
        <w:rFonts w:hint="default" w:ascii="Symbol" w:hAnsi="Symbol"/>
      </w:rPr>
    </w:lvl>
    <w:lvl w:ilvl="1" w:tplc="6CBCCDD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4C68826A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BFA0F75C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331664AC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766EC17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A09E7BB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98187C62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4142CDC2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 w:tplc="CA549FF8">
      <w:start w:val="1"/>
      <w:numFmt w:val="bullet"/>
      <w:lvlText w:val=""/>
      <w:lvlJc w:val="left"/>
      <w:pPr>
        <w:ind w:left="1571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 w:tplc="431A9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75C0D49C">
      <w:start w:val="1"/>
      <w:numFmt w:val="lowerLetter"/>
      <w:lvlText w:val="%2."/>
      <w:lvlJc w:val="left"/>
      <w:pPr>
        <w:ind w:left="1440" w:hanging="360"/>
      </w:pPr>
    </w:lvl>
    <w:lvl w:ilvl="2" w:tplc="1AF45F04">
      <w:start w:val="1"/>
      <w:numFmt w:val="lowerRoman"/>
      <w:lvlText w:val="%3."/>
      <w:lvlJc w:val="right"/>
      <w:pPr>
        <w:ind w:left="2160" w:hanging="180"/>
      </w:pPr>
    </w:lvl>
    <w:lvl w:ilvl="3" w:tplc="B9DCC3E6">
      <w:start w:val="1"/>
      <w:numFmt w:val="decimal"/>
      <w:lvlText w:val="%4."/>
      <w:lvlJc w:val="left"/>
      <w:pPr>
        <w:ind w:left="2880" w:hanging="360"/>
      </w:pPr>
    </w:lvl>
    <w:lvl w:ilvl="4" w:tplc="EC063D96">
      <w:start w:val="1"/>
      <w:numFmt w:val="lowerLetter"/>
      <w:lvlText w:val="%5."/>
      <w:lvlJc w:val="left"/>
      <w:pPr>
        <w:ind w:left="3600" w:hanging="360"/>
      </w:pPr>
    </w:lvl>
    <w:lvl w:ilvl="5" w:tplc="34E0E174">
      <w:start w:val="1"/>
      <w:numFmt w:val="lowerRoman"/>
      <w:lvlText w:val="%6."/>
      <w:lvlJc w:val="right"/>
      <w:pPr>
        <w:ind w:left="4320" w:hanging="180"/>
      </w:pPr>
    </w:lvl>
    <w:lvl w:ilvl="6" w:tplc="E4A4F2DA">
      <w:start w:val="1"/>
      <w:numFmt w:val="decimal"/>
      <w:lvlText w:val="%7."/>
      <w:lvlJc w:val="left"/>
      <w:pPr>
        <w:ind w:left="5040" w:hanging="360"/>
      </w:pPr>
    </w:lvl>
    <w:lvl w:ilvl="7" w:tplc="559E0D6C">
      <w:start w:val="1"/>
      <w:numFmt w:val="lowerLetter"/>
      <w:lvlText w:val="%8."/>
      <w:lvlJc w:val="left"/>
      <w:pPr>
        <w:ind w:left="5760" w:hanging="360"/>
      </w:pPr>
    </w:lvl>
    <w:lvl w:ilvl="8" w:tplc="692E787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plc="F78E8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ADEDAC0">
      <w:start w:val="1"/>
      <w:numFmt w:val="lowerLetter"/>
      <w:lvlText w:val="%2."/>
      <w:lvlJc w:val="left"/>
      <w:pPr>
        <w:ind w:left="1440" w:hanging="360"/>
      </w:pPr>
    </w:lvl>
    <w:lvl w:ilvl="2" w:tplc="8014EAE4">
      <w:start w:val="1"/>
      <w:numFmt w:val="lowerRoman"/>
      <w:lvlText w:val="%3."/>
      <w:lvlJc w:val="right"/>
      <w:pPr>
        <w:ind w:left="2160" w:hanging="180"/>
      </w:pPr>
    </w:lvl>
    <w:lvl w:ilvl="3" w:tplc="EDA6B1B0">
      <w:start w:val="1"/>
      <w:numFmt w:val="decimal"/>
      <w:lvlText w:val="%4."/>
      <w:lvlJc w:val="left"/>
      <w:pPr>
        <w:ind w:left="2880" w:hanging="360"/>
      </w:pPr>
    </w:lvl>
    <w:lvl w:ilvl="4" w:tplc="58C86190">
      <w:start w:val="1"/>
      <w:numFmt w:val="lowerLetter"/>
      <w:lvlText w:val="%5."/>
      <w:lvlJc w:val="left"/>
      <w:pPr>
        <w:ind w:left="3600" w:hanging="360"/>
      </w:pPr>
    </w:lvl>
    <w:lvl w:ilvl="5" w:tplc="45E61FBC">
      <w:start w:val="1"/>
      <w:numFmt w:val="lowerRoman"/>
      <w:lvlText w:val="%6."/>
      <w:lvlJc w:val="right"/>
      <w:pPr>
        <w:ind w:left="4320" w:hanging="180"/>
      </w:pPr>
    </w:lvl>
    <w:lvl w:ilvl="6" w:tplc="D8ACF098">
      <w:start w:val="1"/>
      <w:numFmt w:val="decimal"/>
      <w:lvlText w:val="%7."/>
      <w:lvlJc w:val="left"/>
      <w:pPr>
        <w:ind w:left="5040" w:hanging="360"/>
      </w:pPr>
    </w:lvl>
    <w:lvl w:ilvl="7" w:tplc="A948C352">
      <w:start w:val="1"/>
      <w:numFmt w:val="lowerLetter"/>
      <w:lvlText w:val="%8."/>
      <w:lvlJc w:val="left"/>
      <w:pPr>
        <w:ind w:left="5760" w:hanging="360"/>
      </w:pPr>
    </w:lvl>
    <w:lvl w:ilvl="8" w:tplc="AD88CB0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 w:tplc="B1045C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3ED4C698">
      <w:start w:val="1"/>
      <w:numFmt w:val="lowerLetter"/>
      <w:lvlText w:val="%2."/>
      <w:lvlJc w:val="left"/>
      <w:pPr>
        <w:ind w:left="1440" w:hanging="360"/>
      </w:pPr>
    </w:lvl>
    <w:lvl w:ilvl="2" w:tplc="32A2DF20">
      <w:start w:val="1"/>
      <w:numFmt w:val="lowerRoman"/>
      <w:lvlText w:val="%3."/>
      <w:lvlJc w:val="right"/>
      <w:pPr>
        <w:ind w:left="2160" w:hanging="180"/>
      </w:pPr>
    </w:lvl>
    <w:lvl w:ilvl="3" w:tplc="58448B16">
      <w:start w:val="1"/>
      <w:numFmt w:val="decimal"/>
      <w:lvlText w:val="%4."/>
      <w:lvlJc w:val="left"/>
      <w:pPr>
        <w:ind w:left="2880" w:hanging="360"/>
      </w:pPr>
    </w:lvl>
    <w:lvl w:ilvl="4" w:tplc="47F60AC0">
      <w:start w:val="1"/>
      <w:numFmt w:val="lowerLetter"/>
      <w:lvlText w:val="%5."/>
      <w:lvlJc w:val="left"/>
      <w:pPr>
        <w:ind w:left="3600" w:hanging="360"/>
      </w:pPr>
    </w:lvl>
    <w:lvl w:ilvl="5" w:tplc="B01E18E0">
      <w:start w:val="1"/>
      <w:numFmt w:val="lowerRoman"/>
      <w:lvlText w:val="%6."/>
      <w:lvlJc w:val="right"/>
      <w:pPr>
        <w:ind w:left="4320" w:hanging="180"/>
      </w:pPr>
    </w:lvl>
    <w:lvl w:ilvl="6" w:tplc="A62671C4">
      <w:start w:val="1"/>
      <w:numFmt w:val="decimal"/>
      <w:lvlText w:val="%7."/>
      <w:lvlJc w:val="left"/>
      <w:pPr>
        <w:ind w:left="5040" w:hanging="360"/>
      </w:pPr>
    </w:lvl>
    <w:lvl w:ilvl="7" w:tplc="FF7609B4">
      <w:start w:val="1"/>
      <w:numFmt w:val="lowerLetter"/>
      <w:lvlText w:val="%8."/>
      <w:lvlJc w:val="left"/>
      <w:pPr>
        <w:ind w:left="5760" w:hanging="360"/>
      </w:pPr>
    </w:lvl>
    <w:lvl w:ilvl="8" w:tplc="8B9AFFE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 w:tplc="C75A4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FCAC688">
      <w:start w:val="1"/>
      <w:numFmt w:val="lowerLetter"/>
      <w:lvlText w:val="%2."/>
      <w:lvlJc w:val="left"/>
      <w:pPr>
        <w:ind w:left="1440" w:hanging="360"/>
      </w:pPr>
    </w:lvl>
    <w:lvl w:ilvl="2" w:tplc="C9F0BB12">
      <w:start w:val="1"/>
      <w:numFmt w:val="lowerRoman"/>
      <w:lvlText w:val="%3."/>
      <w:lvlJc w:val="right"/>
      <w:pPr>
        <w:ind w:left="2160" w:hanging="180"/>
      </w:pPr>
    </w:lvl>
    <w:lvl w:ilvl="3" w:tplc="313C3092">
      <w:start w:val="1"/>
      <w:numFmt w:val="decimal"/>
      <w:lvlText w:val="%4."/>
      <w:lvlJc w:val="left"/>
      <w:pPr>
        <w:ind w:left="2880" w:hanging="360"/>
      </w:pPr>
    </w:lvl>
    <w:lvl w:ilvl="4" w:tplc="9692CE14">
      <w:start w:val="1"/>
      <w:numFmt w:val="lowerLetter"/>
      <w:lvlText w:val="%5."/>
      <w:lvlJc w:val="left"/>
      <w:pPr>
        <w:ind w:left="3600" w:hanging="360"/>
      </w:pPr>
    </w:lvl>
    <w:lvl w:ilvl="5" w:tplc="875A0C0A">
      <w:start w:val="1"/>
      <w:numFmt w:val="lowerRoman"/>
      <w:lvlText w:val="%6."/>
      <w:lvlJc w:val="right"/>
      <w:pPr>
        <w:ind w:left="4320" w:hanging="180"/>
      </w:pPr>
    </w:lvl>
    <w:lvl w:ilvl="6" w:tplc="1FB4956E">
      <w:start w:val="1"/>
      <w:numFmt w:val="decimal"/>
      <w:lvlText w:val="%7."/>
      <w:lvlJc w:val="left"/>
      <w:pPr>
        <w:ind w:left="5040" w:hanging="360"/>
      </w:pPr>
    </w:lvl>
    <w:lvl w:ilvl="7" w:tplc="3C56FFB2">
      <w:start w:val="1"/>
      <w:numFmt w:val="lowerLetter"/>
      <w:lvlText w:val="%8."/>
      <w:lvlJc w:val="left"/>
      <w:pPr>
        <w:ind w:left="5760" w:hanging="360"/>
      </w:pPr>
    </w:lvl>
    <w:lvl w:ilvl="8" w:tplc="0122D60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 w:tplc="BDFABFC4">
      <w:start w:val="1"/>
      <w:numFmt w:val="bullet"/>
      <w:lvlText w:val=""/>
      <w:lvlJc w:val="left"/>
      <w:pPr>
        <w:ind w:left="2847" w:hanging="360"/>
      </w:pPr>
      <w:rPr>
        <w:rFonts w:hint="default" w:ascii="Symbol" w:hAnsi="Symbol"/>
        <w:sz w:val="24"/>
      </w:rPr>
    </w:lvl>
    <w:lvl w:ilvl="1" w:tplc="4C8AB4A8">
      <w:start w:val="1"/>
      <w:numFmt w:val="bullet"/>
      <w:lvlText w:val="o"/>
      <w:lvlJc w:val="left"/>
      <w:pPr>
        <w:ind w:left="3567" w:hanging="360"/>
      </w:pPr>
      <w:rPr>
        <w:rFonts w:hint="default" w:ascii="Courier New" w:hAnsi="Courier New" w:cs="Courier New"/>
      </w:rPr>
    </w:lvl>
    <w:lvl w:ilvl="2" w:tplc="1D98BF08">
      <w:start w:val="1"/>
      <w:numFmt w:val="bullet"/>
      <w:lvlText w:val=""/>
      <w:lvlJc w:val="left"/>
      <w:pPr>
        <w:ind w:left="4287" w:hanging="360"/>
      </w:pPr>
      <w:rPr>
        <w:rFonts w:hint="default" w:ascii="Wingdings" w:hAnsi="Wingdings"/>
      </w:rPr>
    </w:lvl>
    <w:lvl w:ilvl="3" w:tplc="0EE6DF20">
      <w:start w:val="1"/>
      <w:numFmt w:val="bullet"/>
      <w:lvlText w:val=""/>
      <w:lvlJc w:val="left"/>
      <w:pPr>
        <w:ind w:left="5007" w:hanging="360"/>
      </w:pPr>
      <w:rPr>
        <w:rFonts w:hint="default" w:ascii="Symbol" w:hAnsi="Symbol"/>
      </w:rPr>
    </w:lvl>
    <w:lvl w:ilvl="4" w:tplc="499E8C10">
      <w:start w:val="1"/>
      <w:numFmt w:val="bullet"/>
      <w:lvlText w:val="o"/>
      <w:lvlJc w:val="left"/>
      <w:pPr>
        <w:ind w:left="5727" w:hanging="360"/>
      </w:pPr>
      <w:rPr>
        <w:rFonts w:hint="default" w:ascii="Courier New" w:hAnsi="Courier New" w:cs="Courier New"/>
      </w:rPr>
    </w:lvl>
    <w:lvl w:ilvl="5" w:tplc="A6D6FB9C">
      <w:start w:val="1"/>
      <w:numFmt w:val="bullet"/>
      <w:lvlText w:val=""/>
      <w:lvlJc w:val="left"/>
      <w:pPr>
        <w:ind w:left="6447" w:hanging="360"/>
      </w:pPr>
      <w:rPr>
        <w:rFonts w:hint="default" w:ascii="Wingdings" w:hAnsi="Wingdings"/>
      </w:rPr>
    </w:lvl>
    <w:lvl w:ilvl="6" w:tplc="1BC0D392">
      <w:start w:val="1"/>
      <w:numFmt w:val="bullet"/>
      <w:lvlText w:val=""/>
      <w:lvlJc w:val="left"/>
      <w:pPr>
        <w:ind w:left="7167" w:hanging="360"/>
      </w:pPr>
      <w:rPr>
        <w:rFonts w:hint="default" w:ascii="Symbol" w:hAnsi="Symbol"/>
      </w:rPr>
    </w:lvl>
    <w:lvl w:ilvl="7" w:tplc="4192D650">
      <w:start w:val="1"/>
      <w:numFmt w:val="bullet"/>
      <w:lvlText w:val="o"/>
      <w:lvlJc w:val="left"/>
      <w:pPr>
        <w:ind w:left="7887" w:hanging="360"/>
      </w:pPr>
      <w:rPr>
        <w:rFonts w:hint="default" w:ascii="Courier New" w:hAnsi="Courier New" w:cs="Courier New"/>
      </w:rPr>
    </w:lvl>
    <w:lvl w:ilvl="8" w:tplc="41B41CDA">
      <w:start w:val="1"/>
      <w:numFmt w:val="bullet"/>
      <w:lvlText w:val=""/>
      <w:lvlJc w:val="left"/>
      <w:pPr>
        <w:ind w:left="8607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pStyle w:val="-"/>
      <w:lvlText w:val=""/>
      <w:lvlJc w:val="left"/>
      <w:pPr>
        <w:ind w:left="1208" w:hanging="357"/>
      </w:pPr>
      <w:rPr>
        <w:rFonts w:hint="default"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left" w:pos="1571"/>
        </w:tabs>
        <w:ind w:left="1928" w:hanging="357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2517" w:hanging="357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336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8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8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357"/>
      </w:pPr>
      <w:rPr>
        <w:rFonts w:hint="default"/>
      </w:rPr>
    </w:lvl>
  </w:abstractNum>
  <w:abstractNum w:abstractNumId="16">
    <w:multiLevelType w:val="hybridMultilevel"/>
    <w:lvl w:ilvl="0" w:tplc="553438B0">
      <w:start w:val="1"/>
      <w:numFmt w:val="bullet"/>
      <w:lvlText w:val=""/>
      <w:lvlJc w:val="left"/>
      <w:pPr>
        <w:ind w:left="1632" w:hanging="360"/>
      </w:pPr>
      <w:rPr>
        <w:rFonts w:hint="default" w:ascii="Symbol" w:hAnsi="Symbol"/>
      </w:rPr>
    </w:lvl>
    <w:lvl w:ilvl="1" w:tplc="2A427044">
      <w:start w:val="1"/>
      <w:numFmt w:val="bullet"/>
      <w:pStyle w:val="2"/>
      <w:lvlText w:val=""/>
      <w:lvlJc w:val="left"/>
      <w:pPr>
        <w:ind w:left="2352" w:hanging="360"/>
      </w:pPr>
      <w:rPr>
        <w:rFonts w:hint="default" w:ascii="Symbol" w:hAnsi="Symbol"/>
      </w:rPr>
    </w:lvl>
    <w:lvl w:ilvl="2" w:tplc="4B7E836C">
      <w:start w:val="1"/>
      <w:numFmt w:val="bullet"/>
      <w:lvlText w:val=""/>
      <w:lvlJc w:val="left"/>
      <w:pPr>
        <w:ind w:left="3072" w:hanging="360"/>
      </w:pPr>
      <w:rPr>
        <w:rFonts w:hint="default" w:ascii="Symbol" w:hAnsi="Symbol"/>
      </w:rPr>
    </w:lvl>
    <w:lvl w:ilvl="3" w:tplc="35BE1BF0">
      <w:start w:val="1"/>
      <w:numFmt w:val="bullet"/>
      <w:lvlText w:val=""/>
      <w:lvlJc w:val="left"/>
      <w:pPr>
        <w:ind w:left="3792" w:hanging="360"/>
      </w:pPr>
      <w:rPr>
        <w:rFonts w:hint="default" w:ascii="Symbol" w:hAnsi="Symbol"/>
      </w:rPr>
    </w:lvl>
    <w:lvl w:ilvl="4" w:tplc="4A0C3960">
      <w:start w:val="1"/>
      <w:numFmt w:val="bullet"/>
      <w:lvlText w:val="o"/>
      <w:lvlJc w:val="left"/>
      <w:pPr>
        <w:ind w:left="4512" w:hanging="360"/>
      </w:pPr>
      <w:rPr>
        <w:rFonts w:hint="default" w:ascii="Courier New" w:hAnsi="Courier New" w:cs="Courier New"/>
      </w:rPr>
    </w:lvl>
    <w:lvl w:ilvl="5" w:tplc="7DA2383E">
      <w:start w:val="1"/>
      <w:numFmt w:val="bullet"/>
      <w:lvlText w:val=""/>
      <w:lvlJc w:val="left"/>
      <w:pPr>
        <w:ind w:left="5232" w:hanging="360"/>
      </w:pPr>
      <w:rPr>
        <w:rFonts w:hint="default" w:ascii="Wingdings" w:hAnsi="Wingdings"/>
      </w:rPr>
    </w:lvl>
    <w:lvl w:ilvl="6" w:tplc="0D944DCE">
      <w:start w:val="1"/>
      <w:numFmt w:val="bullet"/>
      <w:lvlText w:val=""/>
      <w:lvlJc w:val="left"/>
      <w:pPr>
        <w:ind w:left="5952" w:hanging="360"/>
      </w:pPr>
      <w:rPr>
        <w:rFonts w:hint="default" w:ascii="Symbol" w:hAnsi="Symbol"/>
      </w:rPr>
    </w:lvl>
    <w:lvl w:ilvl="7" w:tplc="58042298">
      <w:start w:val="1"/>
      <w:numFmt w:val="bullet"/>
      <w:lvlText w:val="o"/>
      <w:lvlJc w:val="left"/>
      <w:pPr>
        <w:ind w:left="6672" w:hanging="360"/>
      </w:pPr>
      <w:rPr>
        <w:rFonts w:hint="default" w:ascii="Courier New" w:hAnsi="Courier New" w:cs="Courier New"/>
      </w:rPr>
    </w:lvl>
    <w:lvl w:ilvl="8" w:tplc="8B4682C0">
      <w:start w:val="1"/>
      <w:numFmt w:val="bullet"/>
      <w:lvlText w:val=""/>
      <w:lvlJc w:val="left"/>
      <w:pPr>
        <w:ind w:left="7392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 w:tplc="7AD0FE18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9CD076D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696A40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0C08FF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2F0906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6F6AD06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BF1078E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1142D3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EA6A7F6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 w:tplc="71F40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714E5F06">
      <w:start w:val="1"/>
      <w:numFmt w:val="lowerLetter"/>
      <w:lvlText w:val="%2."/>
      <w:lvlJc w:val="left"/>
      <w:pPr>
        <w:ind w:left="1440" w:hanging="360"/>
      </w:pPr>
    </w:lvl>
    <w:lvl w:ilvl="2" w:tplc="E580FD4A">
      <w:start w:val="1"/>
      <w:numFmt w:val="lowerRoman"/>
      <w:lvlText w:val="%3."/>
      <w:lvlJc w:val="right"/>
      <w:pPr>
        <w:ind w:left="2160" w:hanging="180"/>
      </w:pPr>
    </w:lvl>
    <w:lvl w:ilvl="3" w:tplc="B54814DA">
      <w:start w:val="1"/>
      <w:numFmt w:val="decimal"/>
      <w:lvlText w:val="%4."/>
      <w:lvlJc w:val="left"/>
      <w:pPr>
        <w:ind w:left="2880" w:hanging="360"/>
      </w:pPr>
    </w:lvl>
    <w:lvl w:ilvl="4" w:tplc="54780E0E">
      <w:start w:val="1"/>
      <w:numFmt w:val="lowerLetter"/>
      <w:lvlText w:val="%5."/>
      <w:lvlJc w:val="left"/>
      <w:pPr>
        <w:ind w:left="3600" w:hanging="360"/>
      </w:pPr>
    </w:lvl>
    <w:lvl w:ilvl="5" w:tplc="86F87570">
      <w:start w:val="1"/>
      <w:numFmt w:val="lowerRoman"/>
      <w:lvlText w:val="%6."/>
      <w:lvlJc w:val="right"/>
      <w:pPr>
        <w:ind w:left="4320" w:hanging="180"/>
      </w:pPr>
    </w:lvl>
    <w:lvl w:ilvl="6" w:tplc="DCBA8776">
      <w:start w:val="1"/>
      <w:numFmt w:val="decimal"/>
      <w:lvlText w:val="%7."/>
      <w:lvlJc w:val="left"/>
      <w:pPr>
        <w:ind w:left="5040" w:hanging="360"/>
      </w:pPr>
    </w:lvl>
    <w:lvl w:ilvl="7" w:tplc="3F96EBFC">
      <w:start w:val="1"/>
      <w:numFmt w:val="lowerLetter"/>
      <w:lvlText w:val="%8."/>
      <w:lvlJc w:val="left"/>
      <w:pPr>
        <w:ind w:left="5760" w:hanging="360"/>
      </w:pPr>
    </w:lvl>
    <w:lvl w:ilvl="8" w:tplc="CC30E1B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 w:tplc="F7285D82">
      <w:start w:val="1"/>
      <w:numFmt w:val="bullet"/>
      <w:lvlText w:val="–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 w:tplc="A91627D8">
      <w:start w:val="1"/>
      <w:numFmt w:val="bullet"/>
      <w:pStyle w:val="2-"/>
      <w:lvlText w:val="–"/>
      <w:lvlJc w:val="left"/>
      <w:pPr>
        <w:ind w:left="3480" w:hanging="360"/>
      </w:pPr>
      <w:rPr>
        <w:rFonts w:hint="default" w:ascii="Times New Roman" w:hAnsi="Times New Roman" w:cs="Times New Roman"/>
      </w:rPr>
    </w:lvl>
    <w:lvl w:ilvl="2" w:tplc="FECC8288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1F740C66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EE76E832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5C44205C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B9741FA2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FDC647BC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4AAC344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2"/>
  </w:num>
  <w:num w:numId="5">
    <w:abstractNumId w:val="17"/>
  </w:num>
  <w:num w:numId="6">
    <w:abstractNumId w:val="7"/>
  </w:num>
  <w:num w:numId="7">
    <w:abstractNumId w:val="18"/>
  </w:num>
  <w:num w:numId="8">
    <w:abstractNumId w:val="0"/>
  </w:num>
  <w:num w:numId="9">
    <w:abstractNumId w:val="11"/>
  </w:num>
  <w:num w:numId="10">
    <w:abstractNumId w:val="5"/>
  </w:num>
  <w:num w:numId="11">
    <w:abstractNumId w:val="12"/>
  </w:num>
  <w:num w:numId="12">
    <w:abstractNumId w:val="1"/>
  </w:num>
  <w:num w:numId="13">
    <w:abstractNumId w:val="1"/>
  </w:num>
  <w:num w:numId="14">
    <w:abstractNumId w:val="16"/>
  </w:num>
  <w:num w:numId="15">
    <w:abstractNumId w:val="3"/>
  </w:num>
  <w:num w:numId="16">
    <w:abstractNumId w:val="16"/>
  </w:num>
  <w:num w:numId="17">
    <w:abstractNumId w:val="16"/>
  </w:num>
  <w:num w:numId="18">
    <w:abstractNumId w:val="10"/>
  </w:num>
  <w:num w:numId="19">
    <w:abstractNumId w:val="1"/>
  </w:num>
  <w:num w:numId="20">
    <w:abstractNumId w:val="1"/>
  </w:num>
  <w:num w:numId="21">
    <w:abstractNumId w:val="13"/>
  </w:num>
  <w:num w:numId="22">
    <w:abstractNumId w:val="1"/>
  </w:num>
  <w:num w:numId="23">
    <w:abstractNumId w:val="1"/>
  </w:num>
  <w:num w:numId="24">
    <w:abstractNumId w:val="1"/>
  </w:num>
  <w:num w:numId="25">
    <w:abstractNumId w:val="14"/>
  </w:num>
  <w:num w:numId="26">
    <w:abstractNumId w:val="4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2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OC Heading"/>
    <w:uiPriority w:val="39"/>
    <w:unhideWhenUsed/>
  </w:style>
  <w:style w:type="character" w:styleId="a4">
    <w:name w:val="footnote reference"/>
    <w:basedOn w:val="a0"/>
    <w:uiPriority w:val="99"/>
    <w:unhideWhenUsed/>
    <w:qFormat/>
    <w:rPr>
      <w:vertAlign w:val="superscript"/>
    </w:rPr>
  </w:style>
  <w:style w:type="character" w:styleId="a5">
    <w:name w:val="annotation reference"/>
    <w:unhideWhenUsed/>
    <w:qFormat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e">
    <w:name w:val="caption"/>
    <w:basedOn w:val="a"/>
    <w:next w:val="a"/>
    <w:link w:val="af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0">
    <w:name w:val="annotation text"/>
    <w:basedOn w:val="a"/>
    <w:link w:val="af1"/>
    <w:unhideWhenUsed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qFormat/>
    <w:pPr>
      <w:spacing w:after="160"/>
    </w:pPr>
    <w:rPr>
      <w:rFonts w:asciiTheme="minorHAnsi" w:hAnsiTheme="minorHAnsi" w:eastAsiaTheme="minorHAnsi" w:cstheme="minorBidi"/>
      <w:b/>
      <w:bCs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6">
    <w:name w:val="header"/>
    <w:basedOn w:val="a"/>
    <w:link w:val="af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8">
    <w:name w:val="table of figures"/>
    <w:basedOn w:val="a"/>
    <w:next w:val="a"/>
    <w:uiPriority w:val="99"/>
    <w:unhideWhenUsed/>
    <w:qFormat/>
    <w:pPr>
      <w:spacing w:after="0"/>
    </w:pPr>
  </w:style>
  <w:style w:type="paragraph" w:styleId="32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3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List Bullet"/>
    <w:basedOn w:val="1"/>
    <w:uiPriority w:val="99"/>
    <w:unhideWhenUsed/>
    <w:qFormat/>
    <w:pPr>
      <w:ind w:left="1208" w:hanging="357"/>
    </w:pPr>
  </w:style>
  <w:style w:type="paragraph" w:styleId="1" w:customStyle="1">
    <w:name w:val="Маркированный список 1"/>
    <w:basedOn w:val="a"/>
    <w:qFormat/>
    <w:pPr>
      <w:numPr>
        <w:numId w:val="1"/>
      </w:numPr>
      <w:spacing w:after="0"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a">
    <w:name w:val="Title"/>
    <w:basedOn w:val="a"/>
    <w:next w:val="a"/>
    <w:link w:val="afb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c">
    <w:name w:val="footer"/>
    <w:basedOn w:val="a"/>
    <w:link w:val="af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f">
    <w:name w:val="Subtitle"/>
    <w:basedOn w:val="a"/>
    <w:next w:val="a"/>
    <w:link w:val="aff0"/>
    <w:uiPriority w:val="11"/>
    <w:qFormat/>
    <w:pPr>
      <w:spacing w:before="200" w:after="200"/>
    </w:pPr>
    <w:rPr>
      <w:sz w:val="24"/>
      <w:szCs w:val="24"/>
    </w:rPr>
  </w:style>
  <w:style w:type="table" w:styleId="aff1">
    <w:name w:val="Table Grid"/>
    <w:basedOn w:val="a1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eading1Char" w:customStyle="1">
    <w:name w:val="Heading 1 Char"/>
    <w:basedOn w:val="a0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qFormat/>
    <w:rPr>
      <w:rFonts w:ascii="Arial" w:hAnsi="Arial" w:eastAsia="Arial" w:cs="Arial"/>
      <w:sz w:val="34"/>
    </w:rPr>
  </w:style>
  <w:style w:type="character" w:styleId="Heading5Char" w:customStyle="1">
    <w:name w:val="Heading 5 Char"/>
    <w:basedOn w:val="a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qFormat/>
    <w:rPr>
      <w:sz w:val="48"/>
      <w:szCs w:val="48"/>
    </w:rPr>
  </w:style>
  <w:style w:type="character" w:styleId="SubtitleChar" w:customStyle="1">
    <w:name w:val="Subtitle Char"/>
    <w:basedOn w:val="a0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table" w:styleId="110" w:customStyle="1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10" w:customStyle="1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0" w:customStyle="1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0" w:customStyle="1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0" w:customStyle="1">
    <w:name w:val="Таблица простая 51"/>
    <w:basedOn w:val="a1"/>
    <w:uiPriority w:val="99"/>
    <w:qFormat/>
    <w:tblPr/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1" w:customStyle="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-21" w:customStyle="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31" w:customStyle="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41" w:customStyle="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51" w:customStyle="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-61" w:customStyle="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71" w:customStyle="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110" w:customStyle="1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-210" w:customStyle="1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310" w:customStyle="1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10" w:customStyle="1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510" w:customStyle="1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-610" w:customStyle="1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10" w:customStyle="1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paragraph" w:styleId="14" w:customStyle="1">
    <w:name w:val="Заголовок оглавления1"/>
    <w:uiPriority w:val="39"/>
    <w:unhideWhenUsed/>
    <w:qFormat/>
  </w:style>
  <w:style w:type="character" w:styleId="11" w:customStyle="1">
    <w:name w:val="Заголовок 1 Знак"/>
    <w:basedOn w:val="a0"/>
    <w:link w:val="10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a0"/>
    <w:link w:val="20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aff2">
    <w:name w:val="No Spacing"/>
    <w:uiPriority w:val="1"/>
    <w:qFormat/>
    <w:rPr>
      <w:rFonts w:asciiTheme="minorHAnsi" w:hAnsiTheme="minorHAnsi" w:eastAsiaTheme="minorHAnsi" w:cstheme="minorBidi"/>
    </w:rPr>
  </w:style>
  <w:style w:type="character" w:styleId="afb" w:customStyle="1">
    <w:name w:val="Заголовок Знак"/>
    <w:basedOn w:val="a0"/>
    <w:link w:val="afa"/>
    <w:uiPriority w:val="10"/>
    <w:qFormat/>
    <w:rPr>
      <w:sz w:val="48"/>
      <w:szCs w:val="48"/>
    </w:rPr>
  </w:style>
  <w:style w:type="character" w:styleId="aff0" w:customStyle="1">
    <w:name w:val="Подзаголовок Знак"/>
    <w:basedOn w:val="a0"/>
    <w:link w:val="aff"/>
    <w:uiPriority w:val="11"/>
    <w:qFormat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pPr>
      <w:ind w:left="720" w:right="720"/>
    </w:pPr>
    <w:rPr>
      <w:i/>
    </w:rPr>
  </w:style>
  <w:style w:type="character" w:styleId="25" w:customStyle="1">
    <w:name w:val="Цитата 2 Знак"/>
    <w:link w:val="24"/>
    <w:uiPriority w:val="29"/>
    <w:qFormat/>
    <w:rPr>
      <w:i/>
    </w:rPr>
  </w:style>
  <w:style w:type="paragraph" w:styleId="aff3">
    <w:name w:val="Intense Quote"/>
    <w:basedOn w:val="a"/>
    <w:next w:val="a"/>
    <w:link w:val="aff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ff4" w:customStyle="1">
    <w:name w:val="Выделенная цитата Знак"/>
    <w:link w:val="aff3"/>
    <w:uiPriority w:val="30"/>
    <w:qFormat/>
    <w:rPr>
      <w:i/>
    </w:rPr>
  </w:style>
  <w:style w:type="character" w:styleId="HeaderChar" w:customStyle="1">
    <w:name w:val="Header Char"/>
    <w:basedOn w:val="a0"/>
    <w:uiPriority w:val="99"/>
    <w:qFormat/>
  </w:style>
  <w:style w:type="character" w:styleId="FooterChar" w:customStyle="1">
    <w:name w:val="Footer Char"/>
    <w:basedOn w:val="a0"/>
    <w:uiPriority w:val="99"/>
    <w:qFormat/>
  </w:style>
  <w:style w:type="character" w:styleId="CaptionChar" w:customStyle="1">
    <w:name w:val="Caption Char"/>
    <w:uiPriority w:val="99"/>
    <w:qFormat/>
  </w:style>
  <w:style w:type="table" w:styleId="TableGridLight" w:customStyle="1">
    <w:name w:val="Table Grid Light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1" w:customStyle="1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11" w:customStyle="1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1" w:customStyle="1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1" w:customStyle="1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1" w:customStyle="1">
    <w:name w:val="Таблица простая 51"/>
    <w:basedOn w:val="a1"/>
    <w:uiPriority w:val="99"/>
    <w:qFormat/>
    <w:tblPr/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11" w:customStyle="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qFormat/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qFormat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qFormat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11" w:customStyle="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qFormat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qFormat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qFormat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qFormat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11" w:customStyle="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qFormat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qFormat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qFormat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qFormat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11" w:customStyle="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qFormat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qFormat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qFormat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11" w:customStyle="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band1Horz">
      <w:tcPr>
        <w:shd w:val="clear" w:color="a9bee4" w:themeColor="accent1" w:themeTint="75" w:fill="a9bee4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band1Horz">
      <w:tcPr>
        <w:shd w:val="clear" w:color="b3d0eb" w:themeColor="accent5" w:themeTint="75" w:fill="b3d0eb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11" w:customStyle="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qFormat/>
    <w:tblPr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/>
      </w:rPr>
      <w:tcPr>
        <w:tcBorders>
          <w:bottom w:val="single" w:color="A0B7E1" w:themeColor="accent1" w:themeTint="80" w:sz="12" w:space="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qFormat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qFormat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qFormat/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qFormat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styleId="-711" w:customStyle="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qFormat/>
    <w:tblPr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cPr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0b7e1" w:themeColor="accen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cPr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qFormat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qFormat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qFormat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qFormat/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cPr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c" w:themeColor="accent5" w:themeShade="94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cPr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qFormat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06429" w:themeColor="accent6" w:themeShade="94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styleId="-112" w:customStyle="1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tcPr>
        <w:shd w:val="clear" w:color="cfdbf0" w:themeColor="accent1" w:themeTint="40" w:fill="cfdbf0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12" w:customStyle="1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qFormat/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qFormat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qFormat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qFormat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qFormat/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qFormat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12" w:customStyle="1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qFormat/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qFormat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qFormat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qFormat/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qFormat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12" w:customStyle="1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qFormat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qFormat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qFormat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12" w:customStyle="1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qFormat/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ListTable5Dark-Accent2" w:customStyle="1">
    <w:name w:val="List Table 5 Dark - Accent 2"/>
    <w:basedOn w:val="a1"/>
    <w:uiPriority w:val="99"/>
    <w:qFormat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qFormat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qFormat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qFormat/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qFormat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12" w:customStyle="1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qFormat/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4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4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qFormat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285" w:themeColor="accent2" w:themeTint="96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qFormat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qFormat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966" w:themeColor="accent4" w:themeTint="99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qFormat/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cc2e5" w:themeColor="accent5" w:themeTint="99"/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cc2e5" w:themeColor="accent5" w:themeTint="99"/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qFormat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8d08d" w:themeColor="accent6" w:themeTint="99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8d08d" w:themeColor="accent6" w:themeTint="99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styleId="-712" w:customStyle="1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qFormat/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4174" w:themeColor="accent1" w:themeShade="94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qFormat/>
    <w:tblPr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qFormat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qFormat/>
    <w:tblPr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qFormat/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cPr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cc2e5" w:themeColor="accent5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cPr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qFormat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8d08d" w:themeColor="accent6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styleId="Lined-Accent" w:customStyle="1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Lined-Accent2" w:customStyle="1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Lined-Accent6" w:customStyle="1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qFormat/>
    <w:rPr>
      <w:color w:val="404040"/>
    </w:rPr>
    <w:tblPr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qFormat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qFormat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qFormat/>
    <w:rPr>
      <w:color w:val="404040"/>
    </w:rPr>
    <w:tblPr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qFormat/>
    <w:rPr>
      <w:color w:val="404040"/>
    </w:rPr>
    <w:tblPr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qFormat/>
    <w:rPr>
      <w:color w:val="404040"/>
    </w:rPr>
    <w:tblPr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qFormat/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qFormat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qFormat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5" w:customStyle="1">
    <w:name w:val="Текст сноски Знак"/>
    <w:link w:val="af4"/>
    <w:uiPriority w:val="99"/>
    <w:qFormat/>
    <w:rPr>
      <w:sz w:val="18"/>
    </w:rPr>
  </w:style>
  <w:style w:type="character" w:styleId="ad" w:customStyle="1">
    <w:name w:val="Текст концевой сноски Знак"/>
    <w:link w:val="ac"/>
    <w:uiPriority w:val="99"/>
    <w:qFormat/>
    <w:rPr>
      <w:sz w:val="20"/>
    </w:rPr>
  </w:style>
  <w:style w:type="paragraph" w:styleId="15" w:customStyle="1">
    <w:name w:val="Заголовок оглавления1"/>
    <w:uiPriority w:val="39"/>
    <w:unhideWhenUsed/>
    <w:qFormat/>
    <w:rPr>
      <w:rFonts w:asciiTheme="minorHAnsi" w:hAnsiTheme="minorHAnsi" w:eastAsiaTheme="minorHAnsi" w:cstheme="minorBidi"/>
    </w:rPr>
  </w:style>
  <w:style w:type="paragraph" w:styleId="aff5">
    <w:name w:val="List Paragraph"/>
    <w:basedOn w:val="a"/>
    <w:link w:val="aff6"/>
    <w:uiPriority w:val="34"/>
    <w:qFormat/>
    <w:pPr>
      <w:ind w:left="720"/>
      <w:contextualSpacing/>
    </w:pPr>
  </w:style>
  <w:style w:type="character" w:styleId="aff6" w:customStyle="1">
    <w:name w:val="Абзац списка Знак"/>
    <w:link w:val="aff5"/>
    <w:uiPriority w:val="34"/>
    <w:qFormat/>
  </w:style>
  <w:style w:type="character" w:styleId="ab" w:customStyle="1">
    <w:name w:val="Текст выноски Знак"/>
    <w:basedOn w:val="a0"/>
    <w:link w:val="aa"/>
    <w:uiPriority w:val="99"/>
    <w:semiHidden/>
    <w:qFormat/>
    <w:rPr>
      <w:rFonts w:ascii="Tahoma" w:hAnsi="Tahoma" w:cs="Tahoma"/>
      <w:sz w:val="16"/>
      <w:szCs w:val="16"/>
    </w:rPr>
  </w:style>
  <w:style w:type="character" w:styleId="16" w:customStyle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7" w:customStyle="1">
    <w:name w:val="регистрационные поля"/>
    <w:basedOn w:val="a"/>
    <w:qFormat/>
    <w:pPr>
      <w:spacing w:after="0" w:line="240" w:lineRule="exact"/>
      <w:jc w:val="center"/>
    </w:pPr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af7" w:customStyle="1">
    <w:name w:val="Верхний колонтитул Знак"/>
    <w:basedOn w:val="a0"/>
    <w:link w:val="af6"/>
    <w:uiPriority w:val="99"/>
    <w:qFormat/>
  </w:style>
  <w:style w:type="character" w:styleId="afd" w:customStyle="1">
    <w:name w:val="Нижний колонтитул Знак"/>
    <w:basedOn w:val="a0"/>
    <w:link w:val="afc"/>
    <w:uiPriority w:val="99"/>
    <w:qFormat/>
  </w:style>
  <w:style w:type="character" w:styleId="af1" w:customStyle="1">
    <w:name w:val="Текст примечания Знак"/>
    <w:basedOn w:val="a0"/>
    <w:link w:val="af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f8" w:customStyle="1">
    <w:name w:val="Словарная статья"/>
    <w:basedOn w:val="a"/>
    <w:next w:val="a"/>
    <w:qFormat/>
    <w:pPr>
      <w:spacing w:after="0" w:line="240" w:lineRule="auto"/>
      <w:ind w:right="118"/>
      <w:jc w:val="both"/>
    </w:pPr>
    <w:rPr>
      <w:rFonts w:ascii="Arial" w:hAnsi="Arial" w:eastAsia="Times New Roman" w:cs="Times New Roman"/>
      <w:sz w:val="20"/>
      <w:szCs w:val="20"/>
      <w:lang w:eastAsia="ru-RU"/>
    </w:rPr>
  </w:style>
  <w:style w:type="character" w:styleId="af" w:customStyle="1">
    <w:name w:val="Название объекта Знак"/>
    <w:link w:val="ae"/>
    <w:qFormat/>
    <w:rPr>
      <w:i/>
      <w:iCs/>
      <w:color w:val="44546a" w:themeColor="text2"/>
      <w:sz w:val="18"/>
      <w:szCs w:val="18"/>
    </w:rPr>
  </w:style>
  <w:style w:type="character" w:styleId="nobr" w:customStyle="1">
    <w:name w:val="nobr"/>
    <w:basedOn w:val="a0"/>
    <w:qFormat/>
  </w:style>
  <w:style w:type="character" w:styleId="bold" w:customStyle="1">
    <w:name w:val="bold"/>
    <w:basedOn w:val="a0"/>
    <w:qFormat/>
  </w:style>
  <w:style w:type="character" w:styleId="30" w:customStyle="1">
    <w:name w:val="Заголовок 3 Знак"/>
    <w:basedOn w:val="a0"/>
    <w:link w:val="3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40" w:customStyle="1">
    <w:name w:val="Заголовок 4 Знак"/>
    <w:basedOn w:val="a0"/>
    <w:link w:val="4"/>
    <w:uiPriority w:val="9"/>
    <w:semiHidden/>
    <w:qFormat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-" w:customStyle="1">
    <w:name w:val="ГОСТ-список"/>
    <w:basedOn w:val="a"/>
    <w:qFormat/>
    <w:pPr>
      <w:numPr>
        <w:numId w:val="2"/>
      </w:numPr>
      <w:spacing w:after="0" w:line="360" w:lineRule="auto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paragraph" w:styleId="--0" w:customStyle="1">
    <w:name w:val="Гост-список-марк"/>
    <w:basedOn w:val="a"/>
    <w:link w:val="--1"/>
    <w:qFormat/>
    <w:pPr>
      <w:spacing w:after="0" w:line="360" w:lineRule="auto"/>
      <w:ind w:left="1208" w:hanging="357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character" w:styleId="--1" w:customStyle="1">
    <w:name w:val="Гост-список-марк Знак"/>
    <w:link w:val="--0"/>
    <w:qFormat/>
    <w:rPr>
      <w:rFonts w:ascii="Times New Roman" w:hAnsi="Times New Roman" w:eastAsia="Calibri" w:cs="Times New Roman"/>
      <w:sz w:val="24"/>
      <w:szCs w:val="24"/>
    </w:rPr>
  </w:style>
  <w:style w:type="paragraph" w:styleId="p1" w:customStyle="1">
    <w:name w:val="p1"/>
    <w:basedOn w:val="a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3" w:customStyle="1">
    <w:name w:val="Тема примечания Знак"/>
    <w:basedOn w:val="af1"/>
    <w:link w:val="af2"/>
    <w:uiPriority w:val="99"/>
    <w:semiHidden/>
    <w:qFormat/>
    <w:rPr>
      <w:rFonts w:ascii="Times New Roman" w:hAnsi="Times New Roman" w:eastAsia="Times New Roman" w:cs="Times New Roman"/>
      <w:b/>
      <w:bCs/>
      <w:sz w:val="20"/>
      <w:szCs w:val="20"/>
      <w:lang w:eastAsia="en-US"/>
    </w:rPr>
  </w:style>
  <w:style w:type="paragraph" w:styleId="17" w:customStyle="1">
    <w:name w:val="Рецензия1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26" w:customStyle="1">
    <w:name w:val="Рецензия2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2-" w:customStyle="1">
    <w:name w:val="РП Список ненумерованный 2-го уровня"/>
    <w:basedOn w:val="a"/>
    <w:link w:val="2-0"/>
    <w:qFormat/>
    <w:pPr>
      <w:numPr>
        <w:numId w:val="3"/>
        <w:ilvl w:val="1"/>
      </w:numPr>
      <w:spacing w:after="0" w:line="360" w:lineRule="auto"/>
      <w:ind w:left="1604" w:hanging="357"/>
      <w:jc w:val="both"/>
    </w:pPr>
    <w:rPr>
      <w:rFonts w:ascii="Times New Roman" w:hAnsi="Times New Roman" w:cs="Times New Roman"/>
      <w:sz w:val="24"/>
      <w:szCs w:val="24"/>
      <w:lang w:val="zh-CN" w:eastAsia="zh-CN"/>
    </w:rPr>
  </w:style>
  <w:style w:type="character" w:styleId="2-0" w:customStyle="1">
    <w:name w:val="РП Список ненумерованный 2-го уровня Знак"/>
    <w:basedOn w:val="a0"/>
    <w:link w:val="2-"/>
    <w:qFormat/>
    <w:rPr>
      <w:rFonts w:eastAsiaTheme="minorHAnsi"/>
      <w:sz w:val="24"/>
      <w:szCs w:val="24"/>
      <w:lang w:val="zh-CN" w:eastAsia="zh-CN"/>
    </w:rPr>
  </w:style>
  <w:style w:type="paragraph" w:styleId="--" w:customStyle="1">
    <w:name w:val="!Гост-список-марк"/>
    <w:basedOn w:val="a"/>
    <w:link w:val="--2"/>
    <w:qFormat/>
    <w:pPr>
      <w:numPr>
        <w:numId w:val="12"/>
      </w:numPr>
      <w:spacing w:after="0" w:line="360" w:lineRule="auto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character" w:styleId="--2" w:customStyle="1">
    <w:name w:val="!Гост-список-марк Знак"/>
    <w:link w:val="--"/>
    <w:rPr>
      <w:rFonts w:eastAsia="Calibri"/>
      <w:sz w:val="24"/>
      <w:szCs w:val="24"/>
      <w:lang w:eastAsia="en-US"/>
    </w:rPr>
  </w:style>
  <w:style w:type="paragraph" w:styleId="aff9" w:customStyle="1">
    <w:name w:val="!Абзац перед списком"/>
    <w:basedOn w:val="a"/>
    <w:qFormat/>
    <w:pPr>
      <w:keepNext/>
      <w:spacing w:after="0" w:line="360" w:lineRule="auto"/>
      <w:ind w:firstLine="85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" w:customStyle="1">
    <w:name w:val="!Список2 уровень"/>
    <w:basedOn w:val="a"/>
    <w:qFormat/>
    <w:pPr>
      <w:numPr>
        <w:numId w:val="14"/>
        <w:ilvl w:val="1"/>
      </w:numPr>
      <w:spacing w:after="0"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 w:bidi="en-US"/>
    </w:rPr>
  </w:style>
  <w:style w:type="character" w:styleId="27" w:customStyle="1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8" w:customStyle="1">
    <w:name w:val="Обычный 1"/>
    <w:basedOn w:val="a"/>
    <w:link w:val="19"/>
    <w:qFormat/>
    <w:pPr>
      <w:spacing w:after="0" w:line="360" w:lineRule="auto"/>
      <w:ind w:firstLine="85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9" w:customStyle="1">
    <w:name w:val="Обычный 1 Знак"/>
    <w:link w:val="18"/>
    <w:qFormat/>
    <w:rPr>
      <w:rFonts w:eastAsia="Times New Roman"/>
      <w:sz w:val="24"/>
      <w:szCs w:val="24"/>
    </w:rPr>
  </w:style>
  <w:style w:type="character" w:styleId="docdata" w:customStyle="1">
    <w:name w:val="docdata"/>
    <w:basedOn w:val="a0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18A0-3B62-4DEF-8EB0-71A76AC2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8107</Characters>
  <CharactersWithSpaces>9510</CharactersWithSpaces>
  <Company>Microsoft</Company>
  <DocSecurity>0</DocSecurity>
  <HyperlinksChanged>false</HyperlinksChanged>
  <Lines>67</Lines>
  <LinksUpToDate>false</LinksUpToDate>
  <Pages>6</Pages>
  <Paragraphs>19</Paragraphs>
  <ScaleCrop>false</ScaleCrop>
  <SharedDoc>false</SharedDoc>
  <Template>Normal</Template>
  <TotalTime>10</TotalTime>
  <Words>1422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Вячеславовна</dc:creator>
  <cp:lastModifiedBy>Ирина Н</cp:lastModifiedBy>
  <cp:revision>6</cp:revision>
  <dcterms:created xsi:type="dcterms:W3CDTF">2024-09-19T05:19:00Z</dcterms:created>
  <dcterms:modified xsi:type="dcterms:W3CDTF">2024-09-19T16:55:00Z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A38CEF6A7AEA447684E07B64F0D4EA37_12</vt:lpwstr>
  </property>
</Properties>
</file>