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79F18" w14:textId="42A473C6" w:rsidR="00BD6118" w:rsidRDefault="009904EB"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bookmarkStart w:id="0" w:name="_GoBack"/>
      <w:bookmarkEnd w:id="0"/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 w:rsidR="00695521">
        <w:rPr>
          <w:rFonts w:cstheme="minorHAnsi"/>
          <w:b/>
          <w:color w:val="4472C4" w:themeColor="accent1"/>
          <w:sz w:val="28"/>
        </w:rPr>
        <w:t>15.08.2024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 w14:paraId="23EF519A" w14:textId="3BD58E94" w:rsidR="001B2A5E" w:rsidRPr="004B601C" w:rsidRDefault="001B2A5E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«Планирование 44-ФЗ»</w:t>
      </w:r>
    </w:p>
    <w:p w14:paraId="501B4D5D" w14:textId="7157BE11" w:rsidR="00695521" w:rsidRPr="00695521" w:rsidRDefault="00695521" w:rsidP="00695521">
      <w:pPr>
        <w:pStyle w:val="aff4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695521">
        <w:rPr>
          <w:rFonts w:cstheme="minorHAnsi"/>
          <w:sz w:val="24"/>
          <w:szCs w:val="24"/>
        </w:rPr>
        <w:t xml:space="preserve">В карточке лота </w:t>
      </w:r>
      <w:r>
        <w:rPr>
          <w:rFonts w:cstheme="minorHAnsi"/>
          <w:sz w:val="24"/>
          <w:szCs w:val="24"/>
        </w:rPr>
        <w:t>доработана логика</w:t>
      </w:r>
      <w:r w:rsidRPr="00695521">
        <w:rPr>
          <w:rFonts w:cstheme="minorHAnsi"/>
          <w:sz w:val="24"/>
          <w:szCs w:val="24"/>
        </w:rPr>
        <w:t xml:space="preserve"> контроля на возможность объединения в один лот позиций СПГЗ с учетом настройки по способам определения поставщика, установленными в карточке СПГЗ</w:t>
      </w:r>
    </w:p>
    <w:p w14:paraId="0B92DD62" w14:textId="77777777" w:rsidR="00BD6118" w:rsidRPr="004B601C" w:rsidRDefault="009904E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Подсистема «Реестр контрактов 44-ФЗ»</w:t>
      </w:r>
    </w:p>
    <w:p w14:paraId="19059BC3" w14:textId="2DE1B907" w:rsidR="00BD6118" w:rsidRPr="00F85510" w:rsidRDefault="00021F6B" w:rsidP="00F85510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21F6B">
        <w:rPr>
          <w:rFonts w:cstheme="minorHAnsi"/>
          <w:sz w:val="24"/>
          <w:szCs w:val="24"/>
        </w:rPr>
        <w:t xml:space="preserve">При создании проекта контракта в структурированном виде </w:t>
      </w:r>
      <w:r>
        <w:rPr>
          <w:rFonts w:cstheme="minorHAnsi"/>
          <w:sz w:val="24"/>
          <w:szCs w:val="24"/>
        </w:rPr>
        <w:t>реализовано</w:t>
      </w:r>
      <w:r w:rsidRPr="00021F6B">
        <w:rPr>
          <w:rFonts w:cstheme="minorHAnsi"/>
          <w:sz w:val="24"/>
          <w:szCs w:val="24"/>
        </w:rPr>
        <w:t xml:space="preserve"> автоматическое предзаполнение полей «Цена за единицу, руб» и «Сумма закупки, руб» на основании коэффициента снижения</w:t>
      </w:r>
      <w:r>
        <w:rPr>
          <w:rFonts w:cstheme="minorHAnsi"/>
          <w:sz w:val="24"/>
          <w:szCs w:val="24"/>
        </w:rPr>
        <w:t xml:space="preserve"> по результатам проведения закупки</w:t>
      </w:r>
      <w:r w:rsidR="00F85510">
        <w:rPr>
          <w:rFonts w:cstheme="minorHAnsi"/>
          <w:sz w:val="24"/>
          <w:szCs w:val="24"/>
        </w:rPr>
        <w:t xml:space="preserve">. </w:t>
      </w:r>
    </w:p>
    <w:p w14:paraId="07353B2B" w14:textId="48CFC068" w:rsidR="00BD6118" w:rsidRDefault="009904EB" w:rsidP="00F85510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Более подробно изменения описаны в п</w:t>
      </w:r>
      <w:r w:rsidRPr="00C9341E">
        <w:rPr>
          <w:rFonts w:cstheme="minorHAnsi"/>
          <w:i/>
          <w:sz w:val="24"/>
          <w:szCs w:val="24"/>
        </w:rPr>
        <w:t xml:space="preserve">. </w:t>
      </w:r>
      <w:r w:rsidR="00021F6B">
        <w:rPr>
          <w:rFonts w:cstheme="minorHAnsi"/>
          <w:i/>
          <w:sz w:val="24"/>
          <w:szCs w:val="24"/>
        </w:rPr>
        <w:t>5.3.10.2</w:t>
      </w:r>
      <w:r>
        <w:rPr>
          <w:rFonts w:cstheme="minorHAnsi"/>
          <w:i/>
          <w:sz w:val="24"/>
          <w:szCs w:val="24"/>
        </w:rPr>
        <w:t xml:space="preserve"> инструкции по подсистеме Реестр контрактов 44-ФЗ от </w:t>
      </w:r>
      <w:r w:rsidR="00695521">
        <w:rPr>
          <w:rFonts w:cstheme="minorHAnsi"/>
          <w:i/>
          <w:sz w:val="24"/>
          <w:szCs w:val="24"/>
        </w:rPr>
        <w:t>15.08.2024</w:t>
      </w:r>
      <w:r>
        <w:rPr>
          <w:rFonts w:cstheme="minorHAnsi"/>
          <w:i/>
          <w:sz w:val="24"/>
          <w:szCs w:val="24"/>
        </w:rPr>
        <w:t xml:space="preserve"> г.</w:t>
      </w:r>
    </w:p>
    <w:p w14:paraId="73D55D4E" w14:textId="7EBCADC1" w:rsidR="008B4307" w:rsidRDefault="008B4307" w:rsidP="008B4307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B4307">
        <w:rPr>
          <w:rFonts w:cstheme="minorHAnsi"/>
          <w:sz w:val="24"/>
          <w:szCs w:val="24"/>
        </w:rPr>
        <w:t xml:space="preserve">При создании проекта контракта в структурированном виде скорректирована логика заполнения значения в поле </w:t>
      </w:r>
      <w:r>
        <w:rPr>
          <w:rFonts w:cstheme="minorHAnsi"/>
          <w:sz w:val="24"/>
          <w:szCs w:val="24"/>
        </w:rPr>
        <w:t>«</w:t>
      </w:r>
      <w:r w:rsidRPr="008B4307">
        <w:rPr>
          <w:rFonts w:cstheme="minorHAnsi"/>
          <w:sz w:val="24"/>
          <w:szCs w:val="24"/>
        </w:rPr>
        <w:t>Объем поставки</w:t>
      </w:r>
      <w:r>
        <w:rPr>
          <w:rFonts w:cstheme="minorHAnsi"/>
          <w:sz w:val="24"/>
          <w:szCs w:val="24"/>
        </w:rPr>
        <w:t>»</w:t>
      </w:r>
      <w:r w:rsidRPr="008B4307">
        <w:rPr>
          <w:rFonts w:cstheme="minorHAnsi"/>
          <w:sz w:val="24"/>
          <w:szCs w:val="24"/>
        </w:rPr>
        <w:t xml:space="preserve"> спецификации проекта контракта, в случае когда </w:t>
      </w:r>
      <w:r>
        <w:rPr>
          <w:rFonts w:cstheme="minorHAnsi"/>
          <w:sz w:val="24"/>
          <w:szCs w:val="24"/>
        </w:rPr>
        <w:t>в совместном лоте в поле «</w:t>
      </w:r>
      <w:r w:rsidRPr="008B4307">
        <w:rPr>
          <w:rFonts w:cstheme="minorHAnsi"/>
          <w:sz w:val="24"/>
          <w:szCs w:val="24"/>
        </w:rPr>
        <w:t>Закупка осуществляется с разной ценой за единицу товара, работы или услуги</w:t>
      </w:r>
      <w:r>
        <w:rPr>
          <w:rFonts w:cstheme="minorHAnsi"/>
          <w:sz w:val="24"/>
          <w:szCs w:val="24"/>
        </w:rPr>
        <w:t xml:space="preserve">» установлено значение «Нет» </w:t>
      </w:r>
      <w:r w:rsidRPr="008B4307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в таком случае заполнение поля «</w:t>
      </w:r>
      <w:r w:rsidRPr="008B4307">
        <w:rPr>
          <w:rFonts w:cstheme="minorHAnsi"/>
          <w:sz w:val="24"/>
          <w:szCs w:val="24"/>
        </w:rPr>
        <w:t>Объем поставки</w:t>
      </w:r>
      <w:r>
        <w:rPr>
          <w:rFonts w:cstheme="minorHAnsi"/>
          <w:sz w:val="24"/>
          <w:szCs w:val="24"/>
        </w:rPr>
        <w:t xml:space="preserve">» в спецификации проекта контракта </w:t>
      </w:r>
      <w:r w:rsidRPr="008B4307">
        <w:rPr>
          <w:rFonts w:cstheme="minorHAnsi"/>
          <w:sz w:val="24"/>
          <w:szCs w:val="24"/>
        </w:rPr>
        <w:t xml:space="preserve">будет </w:t>
      </w:r>
      <w:r>
        <w:rPr>
          <w:rFonts w:cstheme="minorHAnsi"/>
          <w:sz w:val="24"/>
          <w:szCs w:val="24"/>
        </w:rPr>
        <w:t xml:space="preserve">происходить </w:t>
      </w:r>
      <w:r w:rsidRPr="008B4307">
        <w:rPr>
          <w:rFonts w:cstheme="minorHAnsi"/>
          <w:sz w:val="24"/>
          <w:szCs w:val="24"/>
        </w:rPr>
        <w:t>по данным спецификации лота заказчика</w:t>
      </w:r>
      <w:r>
        <w:rPr>
          <w:rFonts w:cstheme="minorHAnsi"/>
          <w:sz w:val="24"/>
          <w:szCs w:val="24"/>
        </w:rPr>
        <w:t>, а не по данным итогового протокола</w:t>
      </w:r>
      <w:r w:rsidRPr="008B4307">
        <w:rPr>
          <w:rFonts w:cstheme="minorHAnsi"/>
          <w:sz w:val="24"/>
          <w:szCs w:val="24"/>
        </w:rPr>
        <w:t>.</w:t>
      </w:r>
    </w:p>
    <w:p w14:paraId="392BDD97" w14:textId="26C082AF" w:rsidR="00A159FC" w:rsidRPr="008B4307" w:rsidRDefault="00A159FC" w:rsidP="008B4307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9FC">
        <w:rPr>
          <w:rFonts w:cstheme="minorHAnsi"/>
          <w:sz w:val="24"/>
          <w:szCs w:val="24"/>
        </w:rPr>
        <w:t xml:space="preserve">В карточке этапа контракта, созданного на основании проекта контракта в структурированном виде, </w:t>
      </w:r>
      <w:r>
        <w:rPr>
          <w:rFonts w:cstheme="minorHAnsi"/>
          <w:sz w:val="24"/>
          <w:szCs w:val="24"/>
        </w:rPr>
        <w:t>реализована</w:t>
      </w:r>
      <w:r w:rsidRPr="00A159FC">
        <w:rPr>
          <w:rFonts w:cstheme="minorHAnsi"/>
          <w:sz w:val="24"/>
          <w:szCs w:val="24"/>
        </w:rPr>
        <w:t xml:space="preserve"> возможность выделения из основного платежа платежей для уплаты налогов</w:t>
      </w:r>
      <w:r>
        <w:rPr>
          <w:rFonts w:cstheme="minorHAnsi"/>
          <w:sz w:val="24"/>
          <w:szCs w:val="24"/>
        </w:rPr>
        <w:t>.</w:t>
      </w:r>
    </w:p>
    <w:p w14:paraId="15F61874" w14:textId="6310DC8D" w:rsidR="00CC02F2" w:rsidRDefault="00CC02F2" w:rsidP="00CC02F2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Более подробно изменения описаны в п.</w:t>
      </w:r>
      <w:r w:rsidRPr="00504AEF">
        <w:rPr>
          <w:rFonts w:cstheme="minorHAnsi"/>
          <w:i/>
          <w:sz w:val="24"/>
          <w:szCs w:val="24"/>
        </w:rPr>
        <w:t>6.1</w:t>
      </w:r>
      <w:r w:rsidR="00E4726F" w:rsidRPr="00504AEF">
        <w:rPr>
          <w:rFonts w:cstheme="minorHAnsi"/>
          <w:i/>
          <w:sz w:val="24"/>
          <w:szCs w:val="24"/>
        </w:rPr>
        <w:t>4</w:t>
      </w:r>
      <w:r w:rsidRPr="00504AEF">
        <w:rPr>
          <w:rFonts w:cstheme="minorHAnsi"/>
          <w:i/>
          <w:sz w:val="24"/>
          <w:szCs w:val="24"/>
        </w:rPr>
        <w:t>.</w:t>
      </w:r>
      <w:r w:rsidR="00504AEF" w:rsidRPr="00504AEF">
        <w:rPr>
          <w:rFonts w:cstheme="minorHAnsi"/>
          <w:i/>
          <w:sz w:val="24"/>
          <w:szCs w:val="24"/>
        </w:rPr>
        <w:t>5</w:t>
      </w:r>
      <w:r w:rsidR="00504AE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инструкции по подсистеме Реестр контрактов 44-ФЗ от </w:t>
      </w:r>
      <w:r w:rsidR="00695521">
        <w:rPr>
          <w:rFonts w:cstheme="minorHAnsi"/>
          <w:i/>
          <w:sz w:val="24"/>
          <w:szCs w:val="24"/>
        </w:rPr>
        <w:t>15.08.2024</w:t>
      </w:r>
      <w:r>
        <w:rPr>
          <w:rFonts w:cstheme="minorHAnsi"/>
          <w:i/>
          <w:sz w:val="24"/>
          <w:szCs w:val="24"/>
        </w:rPr>
        <w:t xml:space="preserve"> г.</w:t>
      </w:r>
    </w:p>
    <w:p w14:paraId="6E55396B" w14:textId="1776C5AB" w:rsidR="00CC02F2" w:rsidRPr="00A159FC" w:rsidRDefault="00A159FC" w:rsidP="00CC02F2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9FC">
        <w:rPr>
          <w:rFonts w:cstheme="minorHAnsi"/>
          <w:sz w:val="24"/>
          <w:szCs w:val="24"/>
        </w:rPr>
        <w:t xml:space="preserve">В карточке контракта, заключенного с единственным поставщиком по п.25 ч.1 ст.93 44-ФЗ, </w:t>
      </w:r>
      <w:r>
        <w:rPr>
          <w:rFonts w:cstheme="minorHAnsi"/>
          <w:sz w:val="24"/>
          <w:szCs w:val="24"/>
        </w:rPr>
        <w:t>по действию «Зарегистрировать в ЕИС» реализован</w:t>
      </w:r>
      <w:r w:rsidRPr="00A159FC">
        <w:rPr>
          <w:rFonts w:cstheme="minorHAnsi"/>
          <w:sz w:val="24"/>
          <w:szCs w:val="24"/>
        </w:rPr>
        <w:t xml:space="preserve"> контроль на обязательность прикрепления документа с типом «Документ о согласовании контрольным органом в сфере закупок заключения контракта с единственным поставщиком (подрядчиком, исполнителем)»</w:t>
      </w:r>
      <w:r w:rsidR="00CC02F2" w:rsidRPr="00A159FC">
        <w:rPr>
          <w:rFonts w:cstheme="minorHAnsi"/>
          <w:sz w:val="24"/>
          <w:szCs w:val="24"/>
        </w:rPr>
        <w:t xml:space="preserve">. </w:t>
      </w:r>
      <w:r w:rsidR="00CC02F2" w:rsidRPr="00A159FC">
        <w:t xml:space="preserve"> </w:t>
      </w:r>
    </w:p>
    <w:p w14:paraId="06405FEF" w14:textId="77777777" w:rsidR="00C9341E" w:rsidRPr="00695521" w:rsidRDefault="00C9341E" w:rsidP="00695521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</w:p>
    <w:p w14:paraId="45B1905D" w14:textId="10C6CA98" w:rsidR="00D1167B" w:rsidRPr="004B601C" w:rsidRDefault="00C82231" w:rsidP="004B601C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Библиотека типовой документации</w:t>
      </w:r>
    </w:p>
    <w:p w14:paraId="10BF67E5" w14:textId="77777777" w:rsidR="00C82231" w:rsidRDefault="00C82231" w:rsidP="00C8223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82231">
        <w:rPr>
          <w:rFonts w:cstheme="minorHAnsi"/>
          <w:sz w:val="24"/>
          <w:szCs w:val="24"/>
        </w:rPr>
        <w:t>В тексте шаблонов проекта контракта и технического задания для формирования в объе</w:t>
      </w:r>
      <w:r>
        <w:rPr>
          <w:rFonts w:cstheme="minorHAnsi"/>
          <w:sz w:val="24"/>
          <w:szCs w:val="24"/>
        </w:rPr>
        <w:t>к</w:t>
      </w:r>
      <w:r w:rsidRPr="00C82231">
        <w:rPr>
          <w:rFonts w:cstheme="minorHAnsi"/>
          <w:sz w:val="24"/>
          <w:szCs w:val="24"/>
        </w:rPr>
        <w:t>тах по 44-ФЗ изменена цветовая индикация редактируемой области, предназначенной для заполнения на этапе заключения контракта:</w:t>
      </w:r>
    </w:p>
    <w:p w14:paraId="502C0C1E" w14:textId="3685EA88" w:rsidR="00C82231" w:rsidRPr="00C82231" w:rsidRDefault="00C82231" w:rsidP="00C82231">
      <w:pPr>
        <w:pStyle w:val="aff4"/>
        <w:numPr>
          <w:ilvl w:val="0"/>
          <w:numId w:val="1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C82231">
        <w:rPr>
          <w:rFonts w:cstheme="minorHAnsi"/>
          <w:sz w:val="24"/>
          <w:szCs w:val="24"/>
        </w:rPr>
        <w:t xml:space="preserve">редактируемая область, обязательная для заполнения </w:t>
      </w:r>
      <w:r>
        <w:rPr>
          <w:rFonts w:cstheme="minorHAnsi"/>
          <w:sz w:val="24"/>
          <w:szCs w:val="24"/>
        </w:rPr>
        <w:t>–</w:t>
      </w:r>
      <w:r w:rsidRPr="00C82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выделяется </w:t>
      </w:r>
      <w:r w:rsidRPr="00C82231">
        <w:rPr>
          <w:rFonts w:cstheme="minorHAnsi"/>
          <w:sz w:val="24"/>
          <w:szCs w:val="24"/>
        </w:rPr>
        <w:t>темно-серым цветом;</w:t>
      </w:r>
    </w:p>
    <w:p w14:paraId="47FC23D0" w14:textId="6EE52F71" w:rsidR="00D1167B" w:rsidRDefault="00C82231" w:rsidP="00C82231">
      <w:pPr>
        <w:pStyle w:val="aff4"/>
        <w:numPr>
          <w:ilvl w:val="0"/>
          <w:numId w:val="1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C82231">
        <w:rPr>
          <w:rFonts w:cstheme="minorHAnsi"/>
          <w:sz w:val="24"/>
          <w:szCs w:val="24"/>
        </w:rPr>
        <w:t xml:space="preserve">редактируемая область, необязательная для заполнения </w:t>
      </w:r>
      <w:r>
        <w:rPr>
          <w:rFonts w:cstheme="minorHAnsi"/>
          <w:sz w:val="24"/>
          <w:szCs w:val="24"/>
        </w:rPr>
        <w:t>–</w:t>
      </w:r>
      <w:r w:rsidRPr="00C82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выделяется </w:t>
      </w:r>
      <w:r w:rsidRPr="00C82231">
        <w:rPr>
          <w:rFonts w:cstheme="minorHAnsi"/>
          <w:sz w:val="24"/>
          <w:szCs w:val="24"/>
        </w:rPr>
        <w:t>светло-серым цветом</w:t>
      </w:r>
      <w:r w:rsidR="00D1167B">
        <w:rPr>
          <w:rFonts w:cstheme="minorHAnsi"/>
          <w:sz w:val="24"/>
          <w:szCs w:val="24"/>
        </w:rPr>
        <w:t xml:space="preserve">. </w:t>
      </w:r>
    </w:p>
    <w:p w14:paraId="264825AC" w14:textId="77777777" w:rsidR="00D1167B" w:rsidRPr="004B601C" w:rsidRDefault="00D1167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>АРМ Технической поддержки</w:t>
      </w:r>
    </w:p>
    <w:p w14:paraId="50379101" w14:textId="42226186" w:rsidR="00D1167B" w:rsidRPr="00753868" w:rsidRDefault="00A07DF6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разделе «Объекты 44-ФЗ», в подразделе «Контракты» реализована </w:t>
      </w:r>
      <w:r w:rsidRPr="00A07DF6">
        <w:rPr>
          <w:rFonts w:cstheme="minorHAnsi"/>
          <w:sz w:val="24"/>
          <w:szCs w:val="24"/>
        </w:rPr>
        <w:t>возможность запуска повторной обработки сведений об исполнении по контракту, если они ранее были загружены и обработаны с ошибкой</w:t>
      </w:r>
      <w:r w:rsidR="00753868">
        <w:rPr>
          <w:rFonts w:cstheme="minorHAnsi"/>
          <w:sz w:val="24"/>
          <w:szCs w:val="24"/>
        </w:rPr>
        <w:t>.</w:t>
      </w:r>
    </w:p>
    <w:p w14:paraId="7EC2AE19" w14:textId="5A76E9B0" w:rsidR="00D1167B" w:rsidRDefault="00D1167B" w:rsidP="00D1167B">
      <w:pPr>
        <w:pStyle w:val="aff4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41218B">
        <w:rPr>
          <w:rFonts w:cstheme="minorHAnsi"/>
          <w:i/>
          <w:sz w:val="24"/>
          <w:szCs w:val="24"/>
        </w:rPr>
        <w:t xml:space="preserve">Более подробно изменения описаны в п. </w:t>
      </w:r>
      <w:r w:rsidRPr="00E92454">
        <w:rPr>
          <w:rFonts w:cstheme="minorHAnsi"/>
          <w:i/>
          <w:sz w:val="24"/>
          <w:szCs w:val="24"/>
        </w:rPr>
        <w:t>4.2.</w:t>
      </w:r>
      <w:r w:rsidR="00E4726F" w:rsidRPr="00E92454">
        <w:rPr>
          <w:rFonts w:cstheme="minorHAnsi"/>
          <w:i/>
          <w:sz w:val="24"/>
          <w:szCs w:val="24"/>
        </w:rPr>
        <w:t>4</w:t>
      </w:r>
      <w:r w:rsidR="00E92454" w:rsidRPr="00E92454">
        <w:rPr>
          <w:rFonts w:cstheme="minorHAnsi"/>
          <w:i/>
          <w:sz w:val="24"/>
          <w:szCs w:val="24"/>
        </w:rPr>
        <w:t>.9</w:t>
      </w:r>
      <w:r w:rsidRPr="0041218B">
        <w:rPr>
          <w:rFonts w:cstheme="minorHAnsi"/>
          <w:i/>
          <w:sz w:val="24"/>
          <w:szCs w:val="24"/>
        </w:rPr>
        <w:t xml:space="preserve"> инструкции по АРМ Технической поддержки от </w:t>
      </w:r>
      <w:r w:rsidR="00695521">
        <w:rPr>
          <w:rFonts w:cstheme="minorHAnsi"/>
          <w:i/>
          <w:sz w:val="24"/>
          <w:szCs w:val="24"/>
        </w:rPr>
        <w:t>15.08.2024</w:t>
      </w:r>
      <w:r w:rsidRPr="0041218B">
        <w:rPr>
          <w:rFonts w:cstheme="minorHAnsi"/>
          <w:i/>
          <w:sz w:val="24"/>
          <w:szCs w:val="24"/>
        </w:rPr>
        <w:t xml:space="preserve"> г.</w:t>
      </w:r>
    </w:p>
    <w:p w14:paraId="6ECDCABD" w14:textId="77777777" w:rsidR="00BD6118" w:rsidRPr="004B601C" w:rsidRDefault="009904EB" w:rsidP="004B601C">
      <w:pPr>
        <w:pStyle w:val="3"/>
        <w:jc w:val="center"/>
        <w:rPr>
          <w:rFonts w:asciiTheme="minorHAnsi" w:hAnsiTheme="minorHAnsi" w:cstheme="minorHAnsi"/>
        </w:rPr>
      </w:pPr>
      <w:r w:rsidRPr="004B601C">
        <w:rPr>
          <w:rFonts w:asciiTheme="minorHAnsi" w:hAnsiTheme="minorHAnsi" w:cstheme="minorHAnsi"/>
        </w:rPr>
        <w:t xml:space="preserve">Подсистема «Нормативно-справочной информации» </w:t>
      </w:r>
    </w:p>
    <w:p w14:paraId="71559542" w14:textId="7BACE509" w:rsidR="00DF624B" w:rsidRPr="00DF624B" w:rsidRDefault="00B91B62" w:rsidP="00A66961">
      <w:pPr>
        <w:pStyle w:val="aff4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91B62">
        <w:rPr>
          <w:rFonts w:cstheme="minorHAnsi"/>
          <w:sz w:val="24"/>
          <w:szCs w:val="24"/>
        </w:rPr>
        <w:t xml:space="preserve">В справочнике ОКПД-2 в блоке «Национальный режим» </w:t>
      </w:r>
      <w:r>
        <w:rPr>
          <w:rFonts w:cstheme="minorHAnsi"/>
          <w:sz w:val="24"/>
          <w:szCs w:val="24"/>
        </w:rPr>
        <w:t>реализована</w:t>
      </w:r>
      <w:r w:rsidRPr="00B91B62">
        <w:rPr>
          <w:rFonts w:cstheme="minorHAnsi"/>
          <w:sz w:val="24"/>
          <w:szCs w:val="24"/>
        </w:rPr>
        <w:t xml:space="preserve"> возможность настройки параметра «Установлено ограничение на объединение в один лот позиций, попадающих и не попадающих под действие НПА» по способам определения поставщика 44-ФЗ с возможностью корректировки настроек в карточке СПГЗ</w:t>
      </w:r>
      <w:r w:rsidR="00DF624B">
        <w:rPr>
          <w:rFonts w:cstheme="minorHAnsi"/>
          <w:sz w:val="24"/>
          <w:szCs w:val="24"/>
        </w:rPr>
        <w:t>.</w:t>
      </w:r>
    </w:p>
    <w:p w14:paraId="134965CD" w14:textId="3311C840" w:rsidR="003C040A" w:rsidRDefault="003C040A" w:rsidP="003C040A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 w:rsidRPr="003C040A">
        <w:rPr>
          <w:i/>
          <w:sz w:val="24"/>
          <w:szCs w:val="24"/>
        </w:rPr>
        <w:t xml:space="preserve">Более подробно изменения описаны в п. </w:t>
      </w:r>
      <w:r w:rsidR="00D70081">
        <w:rPr>
          <w:i/>
          <w:sz w:val="24"/>
          <w:szCs w:val="24"/>
        </w:rPr>
        <w:t>4.2.2.7.1</w:t>
      </w:r>
      <w:r w:rsidR="00D70081" w:rsidRPr="003C040A">
        <w:rPr>
          <w:i/>
          <w:sz w:val="24"/>
          <w:szCs w:val="24"/>
        </w:rPr>
        <w:t xml:space="preserve"> </w:t>
      </w:r>
      <w:r w:rsidRPr="003C040A">
        <w:rPr>
          <w:i/>
          <w:sz w:val="24"/>
          <w:szCs w:val="24"/>
        </w:rPr>
        <w:t>инструкции администратора</w:t>
      </w:r>
      <w:r w:rsidR="00DF624B">
        <w:rPr>
          <w:i/>
          <w:sz w:val="24"/>
          <w:szCs w:val="24"/>
        </w:rPr>
        <w:t xml:space="preserve"> подсистемы</w:t>
      </w:r>
      <w:r w:rsidRPr="003C040A">
        <w:rPr>
          <w:i/>
          <w:sz w:val="24"/>
          <w:szCs w:val="24"/>
        </w:rPr>
        <w:t xml:space="preserve"> НСИ от </w:t>
      </w:r>
      <w:r w:rsidR="00695521">
        <w:rPr>
          <w:i/>
          <w:sz w:val="24"/>
          <w:szCs w:val="24"/>
        </w:rPr>
        <w:t>15.08.2024</w:t>
      </w:r>
      <w:r w:rsidRPr="003C040A">
        <w:rPr>
          <w:i/>
          <w:sz w:val="24"/>
          <w:szCs w:val="24"/>
        </w:rPr>
        <w:t xml:space="preserve"> г</w:t>
      </w:r>
      <w:r w:rsidR="00DF624B">
        <w:rPr>
          <w:i/>
          <w:sz w:val="24"/>
          <w:szCs w:val="24"/>
        </w:rPr>
        <w:t>.</w:t>
      </w:r>
      <w:r w:rsidRPr="003C040A">
        <w:rPr>
          <w:i/>
          <w:sz w:val="24"/>
          <w:szCs w:val="24"/>
        </w:rPr>
        <w:t>.</w:t>
      </w:r>
    </w:p>
    <w:sectPr w:rsidR="003C04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A63DC" w14:textId="77777777" w:rsidR="008C672D" w:rsidRDefault="008C672D">
      <w:pPr>
        <w:spacing w:line="240" w:lineRule="auto"/>
      </w:pPr>
      <w:r>
        <w:separator/>
      </w:r>
    </w:p>
  </w:endnote>
  <w:endnote w:type="continuationSeparator" w:id="0">
    <w:p w14:paraId="746F0AE2" w14:textId="77777777" w:rsidR="008C672D" w:rsidRDefault="008C6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2E67161" w14:textId="5E16AD2A" w:rsidR="00BD6118" w:rsidRDefault="009904E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CB">
          <w:rPr>
            <w:noProof/>
          </w:rPr>
          <w:t>2</w:t>
        </w:r>
        <w:r>
          <w:fldChar w:fldCharType="end"/>
        </w:r>
      </w:p>
    </w:sdtContent>
  </w:sdt>
  <w:p w14:paraId="2D985C5F" w14:textId="77777777" w:rsidR="00BD6118" w:rsidRDefault="00BD6118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D133" w14:textId="77777777" w:rsidR="008C672D" w:rsidRDefault="008C672D">
      <w:pPr>
        <w:spacing w:after="0"/>
      </w:pPr>
      <w:r>
        <w:separator/>
      </w:r>
    </w:p>
  </w:footnote>
  <w:footnote w:type="continuationSeparator" w:id="0">
    <w:p w14:paraId="4F754307" w14:textId="77777777" w:rsidR="008C672D" w:rsidRDefault="008C6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F0D"/>
    <w:multiLevelType w:val="hybridMultilevel"/>
    <w:tmpl w:val="EA58DC04"/>
    <w:lvl w:ilvl="0" w:tplc="06B83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06661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5A0"/>
    <w:multiLevelType w:val="multilevel"/>
    <w:tmpl w:val="0BE575A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63436"/>
    <w:multiLevelType w:val="multilevel"/>
    <w:tmpl w:val="3E563436"/>
    <w:lvl w:ilvl="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AC0107"/>
    <w:multiLevelType w:val="hybridMultilevel"/>
    <w:tmpl w:val="27B24D86"/>
    <w:lvl w:ilvl="0" w:tplc="6D58688C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630409D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80688EB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B3C8AE7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E966B21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D792866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A0EC01C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4A44922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6A40977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FA84F5C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8AC"/>
    <w:multiLevelType w:val="multilevel"/>
    <w:tmpl w:val="4B2878AC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A356D7B"/>
    <w:multiLevelType w:val="hybridMultilevel"/>
    <w:tmpl w:val="C87A9EE2"/>
    <w:lvl w:ilvl="0" w:tplc="06B83C7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8B64F36"/>
    <w:multiLevelType w:val="multilevel"/>
    <w:tmpl w:val="68B6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FDA"/>
    <w:multiLevelType w:val="multilevel"/>
    <w:tmpl w:val="7B663FDA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D"/>
    <w:rsid w:val="00006C2E"/>
    <w:rsid w:val="00021F6B"/>
    <w:rsid w:val="000815DB"/>
    <w:rsid w:val="000D011A"/>
    <w:rsid w:val="00100A58"/>
    <w:rsid w:val="00103B63"/>
    <w:rsid w:val="0013143D"/>
    <w:rsid w:val="00145A81"/>
    <w:rsid w:val="0016650B"/>
    <w:rsid w:val="001B2A5E"/>
    <w:rsid w:val="001F1730"/>
    <w:rsid w:val="00226612"/>
    <w:rsid w:val="00271F48"/>
    <w:rsid w:val="00276B4A"/>
    <w:rsid w:val="002A3397"/>
    <w:rsid w:val="002C542A"/>
    <w:rsid w:val="0038185B"/>
    <w:rsid w:val="003C040A"/>
    <w:rsid w:val="00403F68"/>
    <w:rsid w:val="0041218B"/>
    <w:rsid w:val="004507FB"/>
    <w:rsid w:val="0045090D"/>
    <w:rsid w:val="00483488"/>
    <w:rsid w:val="004B601C"/>
    <w:rsid w:val="004E1563"/>
    <w:rsid w:val="004E7E6C"/>
    <w:rsid w:val="00504AEF"/>
    <w:rsid w:val="005778DF"/>
    <w:rsid w:val="005D6C0F"/>
    <w:rsid w:val="005F7EC1"/>
    <w:rsid w:val="0060237E"/>
    <w:rsid w:val="00695521"/>
    <w:rsid w:val="006B5A5B"/>
    <w:rsid w:val="006C3FFA"/>
    <w:rsid w:val="006E09DB"/>
    <w:rsid w:val="00711A9A"/>
    <w:rsid w:val="00717CB9"/>
    <w:rsid w:val="00730F77"/>
    <w:rsid w:val="00753868"/>
    <w:rsid w:val="007A3A6F"/>
    <w:rsid w:val="007B5BE8"/>
    <w:rsid w:val="007B5E20"/>
    <w:rsid w:val="007D067D"/>
    <w:rsid w:val="00890F4B"/>
    <w:rsid w:val="00895C81"/>
    <w:rsid w:val="008A0E76"/>
    <w:rsid w:val="008B4307"/>
    <w:rsid w:val="008C672D"/>
    <w:rsid w:val="008E75C8"/>
    <w:rsid w:val="009904EB"/>
    <w:rsid w:val="009C216C"/>
    <w:rsid w:val="00A07DF6"/>
    <w:rsid w:val="00A159FC"/>
    <w:rsid w:val="00A44D60"/>
    <w:rsid w:val="00A563C8"/>
    <w:rsid w:val="00A66961"/>
    <w:rsid w:val="00A864E2"/>
    <w:rsid w:val="00A93ABC"/>
    <w:rsid w:val="00B91B62"/>
    <w:rsid w:val="00BA30CB"/>
    <w:rsid w:val="00BD6118"/>
    <w:rsid w:val="00C201F3"/>
    <w:rsid w:val="00C82231"/>
    <w:rsid w:val="00C9341E"/>
    <w:rsid w:val="00CC02F2"/>
    <w:rsid w:val="00CC2B97"/>
    <w:rsid w:val="00CF390D"/>
    <w:rsid w:val="00D1167B"/>
    <w:rsid w:val="00D70081"/>
    <w:rsid w:val="00D70BED"/>
    <w:rsid w:val="00DF624B"/>
    <w:rsid w:val="00E144C1"/>
    <w:rsid w:val="00E428E5"/>
    <w:rsid w:val="00E4726F"/>
    <w:rsid w:val="00E55A1D"/>
    <w:rsid w:val="00E84BB6"/>
    <w:rsid w:val="00E92454"/>
    <w:rsid w:val="00EA122C"/>
    <w:rsid w:val="00EB3504"/>
    <w:rsid w:val="00F85510"/>
    <w:rsid w:val="63D6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8FB"/>
  <w15:docId w15:val="{D40719D8-0868-4898-AE03-53CD6A47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List Bullet"/>
    <w:basedOn w:val="1"/>
    <w:uiPriority w:val="99"/>
    <w:unhideWhenUsed/>
    <w:qFormat/>
    <w:pPr>
      <w:ind w:left="1208" w:hanging="357"/>
    </w:pPr>
  </w:style>
  <w:style w:type="paragraph" w:customStyle="1" w:styleId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</w:style>
  <w:style w:type="character" w:customStyle="1" w:styleId="11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a">
    <w:name w:val="Название Знак"/>
    <w:basedOn w:val="a0"/>
    <w:link w:val="af9"/>
    <w:uiPriority w:val="10"/>
    <w:qFormat/>
    <w:rPr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qFormat/>
    <w:rPr>
      <w:sz w:val="18"/>
    </w:rPr>
  </w:style>
  <w:style w:type="character" w:customStyle="1" w:styleId="ac">
    <w:name w:val="Текст концевой сноски Знак"/>
    <w:link w:val="ab"/>
    <w:uiPriority w:val="99"/>
    <w:qFormat/>
    <w:rPr>
      <w:sz w:val="20"/>
    </w:rPr>
  </w:style>
  <w:style w:type="paragraph" w:customStyle="1" w:styleId="14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customStyle="1" w:styleId="aff5">
    <w:name w:val="Абзац списка Знак"/>
    <w:link w:val="aff4"/>
    <w:uiPriority w:val="34"/>
    <w:qFormat/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6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0">
    <w:name w:val="Текст примечания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6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Рецензия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-">
    <w:name w:val="РП Список ненумерованный 2-го уровня"/>
    <w:basedOn w:val="a"/>
    <w:link w:val="2-0"/>
    <w:qFormat/>
    <w:pPr>
      <w:numPr>
        <w:ilvl w:val="1"/>
        <w:numId w:val="3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2-0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  <w14:shadow w14:blurRad="50800" w14:dist="50800" w14:dir="5400000" w14:sx="0" w14:sy="0" w14:kx="0" w14:ky="0" w14:algn="ctr">
        <w14:schemeClr w14:val="bg1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DC0B-E629-4994-A9FC-3EABEDC1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Наталья Вячеславовна</dc:creator>
  <cp:lastModifiedBy>Гаряева Лилия Александровна</cp:lastModifiedBy>
  <cp:revision>2</cp:revision>
  <dcterms:created xsi:type="dcterms:W3CDTF">2024-08-16T05:44:00Z</dcterms:created>
  <dcterms:modified xsi:type="dcterms:W3CDTF">2024-08-16T05:44:00Z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A38CEF6A7AEA447684E07B64F0D4EA37_12</vt:lpwstr>
  </property>
</Properties>
</file>