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B0" w:rsidRDefault="008912B0" w:rsidP="008912B0">
      <w:pPr>
        <w:jc w:val="center"/>
        <w:rPr>
          <w:b/>
          <w:color w:val="4472C4" w:themeColor="accent1"/>
          <w:sz w:val="28"/>
        </w:rPr>
      </w:pPr>
      <w:r w:rsidRPr="008912B0">
        <w:rPr>
          <w:b/>
          <w:color w:val="4472C4" w:themeColor="accent1"/>
          <w:sz w:val="28"/>
        </w:rPr>
        <w:t xml:space="preserve">СОСТАВ ОБНОВЛЕНИЙ РИС ЗАКУПКИ ПК ОТ </w:t>
      </w:r>
      <w:r w:rsidR="00607868">
        <w:rPr>
          <w:b/>
          <w:color w:val="4472C4" w:themeColor="accent1"/>
          <w:sz w:val="28"/>
        </w:rPr>
        <w:t>22</w:t>
      </w:r>
      <w:r w:rsidRPr="008912B0">
        <w:rPr>
          <w:b/>
          <w:color w:val="4472C4" w:themeColor="accent1"/>
          <w:sz w:val="28"/>
        </w:rPr>
        <w:t>.</w:t>
      </w:r>
      <w:r w:rsidR="000D2845" w:rsidRPr="000D2845">
        <w:rPr>
          <w:b/>
          <w:color w:val="4472C4" w:themeColor="accent1"/>
          <w:sz w:val="28"/>
        </w:rPr>
        <w:t>0</w:t>
      </w:r>
      <w:r w:rsidR="006A3CCE">
        <w:rPr>
          <w:b/>
          <w:color w:val="4472C4" w:themeColor="accent1"/>
          <w:sz w:val="28"/>
        </w:rPr>
        <w:t>4</w:t>
      </w:r>
      <w:r w:rsidRPr="008912B0">
        <w:rPr>
          <w:b/>
          <w:color w:val="4472C4" w:themeColor="accent1"/>
          <w:sz w:val="28"/>
        </w:rPr>
        <w:t>.20</w:t>
      </w:r>
      <w:r w:rsidR="000D2845" w:rsidRPr="000D2845">
        <w:rPr>
          <w:b/>
          <w:color w:val="4472C4" w:themeColor="accent1"/>
          <w:sz w:val="28"/>
        </w:rPr>
        <w:t>20</w:t>
      </w:r>
      <w:r w:rsidRPr="008912B0">
        <w:rPr>
          <w:b/>
          <w:color w:val="4472C4" w:themeColor="accent1"/>
          <w:sz w:val="28"/>
        </w:rPr>
        <w:t xml:space="preserve"> г.</w:t>
      </w:r>
    </w:p>
    <w:p w:rsidR="00665F1E" w:rsidRDefault="00665F1E" w:rsidP="008912B0">
      <w:pPr>
        <w:jc w:val="center"/>
        <w:rPr>
          <w:b/>
          <w:color w:val="4472C4" w:themeColor="accent1"/>
          <w:sz w:val="28"/>
        </w:rPr>
      </w:pPr>
    </w:p>
    <w:p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rsidR="00D77108" w:rsidRDefault="00975950" w:rsidP="00017478">
      <w:pPr>
        <w:pStyle w:val="a3"/>
        <w:numPr>
          <w:ilvl w:val="0"/>
          <w:numId w:val="2"/>
        </w:numPr>
        <w:spacing w:line="360" w:lineRule="auto"/>
        <w:contextualSpacing w:val="0"/>
        <w:jc w:val="both"/>
        <w:rPr>
          <w:sz w:val="24"/>
          <w:szCs w:val="24"/>
        </w:rPr>
      </w:pPr>
      <w:r>
        <w:rPr>
          <w:sz w:val="24"/>
          <w:szCs w:val="24"/>
        </w:rPr>
        <w:t xml:space="preserve">При формировании спецификаций лота реализован контроль на обязательность </w:t>
      </w:r>
      <w:proofErr w:type="gramStart"/>
      <w:r>
        <w:rPr>
          <w:sz w:val="24"/>
          <w:szCs w:val="24"/>
        </w:rPr>
        <w:t>применения шаблона типового технического задания/проекта контракта</w:t>
      </w:r>
      <w:proofErr w:type="gramEnd"/>
      <w:r>
        <w:rPr>
          <w:sz w:val="24"/>
          <w:szCs w:val="24"/>
        </w:rPr>
        <w:t xml:space="preserve">. Если администратором Библиотеки типовой документации установлено, что шаблон является обязательным для применения, то при формировании спецификаций лота контролируется, что в один лот не могут быть объединены позиции СПГЗ, имеющие </w:t>
      </w:r>
      <w:r w:rsidRPr="00975950">
        <w:rPr>
          <w:sz w:val="24"/>
          <w:szCs w:val="24"/>
          <w:u w:val="single"/>
        </w:rPr>
        <w:t>разный</w:t>
      </w:r>
      <w:r>
        <w:rPr>
          <w:sz w:val="24"/>
          <w:szCs w:val="24"/>
        </w:rPr>
        <w:t xml:space="preserve"> шаблон типового технического задания/проекта контракта.</w:t>
      </w:r>
    </w:p>
    <w:p w:rsidR="00051B37" w:rsidRDefault="00962375" w:rsidP="00975950">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описаны в п. 5.</w:t>
      </w:r>
      <w:r w:rsidR="00B7340B">
        <w:rPr>
          <w:i/>
          <w:iCs/>
          <w:sz w:val="24"/>
          <w:szCs w:val="24"/>
        </w:rPr>
        <w:t>2.1.2.6</w:t>
      </w:r>
      <w:r w:rsidRPr="00D82E23">
        <w:rPr>
          <w:i/>
          <w:iCs/>
          <w:sz w:val="24"/>
          <w:szCs w:val="24"/>
        </w:rPr>
        <w:t xml:space="preserve"> инструкции</w:t>
      </w:r>
      <w:r w:rsidRPr="004576BA">
        <w:rPr>
          <w:i/>
          <w:iCs/>
          <w:sz w:val="24"/>
          <w:szCs w:val="24"/>
        </w:rPr>
        <w:t xml:space="preserve"> по подсистеме «Планирование» от </w:t>
      </w:r>
      <w:r w:rsidR="00975950">
        <w:rPr>
          <w:i/>
          <w:iCs/>
          <w:sz w:val="24"/>
          <w:szCs w:val="24"/>
        </w:rPr>
        <w:t>22</w:t>
      </w:r>
      <w:r w:rsidRPr="004576BA">
        <w:rPr>
          <w:i/>
          <w:iCs/>
          <w:sz w:val="24"/>
          <w:szCs w:val="24"/>
        </w:rPr>
        <w:t>.0</w:t>
      </w:r>
      <w:r>
        <w:rPr>
          <w:i/>
          <w:iCs/>
          <w:sz w:val="24"/>
          <w:szCs w:val="24"/>
        </w:rPr>
        <w:t>4</w:t>
      </w:r>
      <w:r w:rsidRPr="004576BA">
        <w:rPr>
          <w:i/>
          <w:iCs/>
          <w:sz w:val="24"/>
          <w:szCs w:val="24"/>
        </w:rPr>
        <w:t xml:space="preserve">.2020 г. </w:t>
      </w:r>
    </w:p>
    <w:p w:rsidR="00975950" w:rsidRPr="00975950" w:rsidRDefault="00975950" w:rsidP="00975950">
      <w:pPr>
        <w:pStyle w:val="a3"/>
        <w:spacing w:line="360" w:lineRule="auto"/>
        <w:contextualSpacing w:val="0"/>
        <w:jc w:val="both"/>
        <w:rPr>
          <w:i/>
          <w:iCs/>
          <w:sz w:val="24"/>
          <w:szCs w:val="24"/>
        </w:rPr>
      </w:pPr>
    </w:p>
    <w:p w:rsidR="009A481E" w:rsidRDefault="009A481E" w:rsidP="00E16FEB">
      <w:pPr>
        <w:pStyle w:val="a3"/>
        <w:spacing w:line="360" w:lineRule="auto"/>
        <w:contextualSpacing w:val="0"/>
        <w:jc w:val="center"/>
        <w:rPr>
          <w:b/>
          <w:bCs/>
          <w:sz w:val="24"/>
          <w:szCs w:val="24"/>
        </w:rPr>
      </w:pPr>
      <w:r>
        <w:rPr>
          <w:b/>
          <w:bCs/>
          <w:sz w:val="24"/>
          <w:szCs w:val="24"/>
        </w:rPr>
        <w:t>Подсистема «Осуществление закупок»</w:t>
      </w:r>
    </w:p>
    <w:p w:rsidR="00507779" w:rsidRDefault="00C65048" w:rsidP="00017478">
      <w:pPr>
        <w:pStyle w:val="a3"/>
        <w:numPr>
          <w:ilvl w:val="0"/>
          <w:numId w:val="2"/>
        </w:numPr>
        <w:spacing w:line="360" w:lineRule="auto"/>
        <w:contextualSpacing w:val="0"/>
        <w:jc w:val="both"/>
        <w:rPr>
          <w:sz w:val="24"/>
          <w:szCs w:val="24"/>
        </w:rPr>
      </w:pPr>
      <w:r>
        <w:rPr>
          <w:sz w:val="24"/>
          <w:szCs w:val="24"/>
        </w:rPr>
        <w:t xml:space="preserve">В карточке закупки со способами определения поставщика «электронный аукцион», «открытый конкурс в электронной форме», «конкурс с ограниченным участием в электронной форме» реализована возможность скачивания актуализированной печатной формы извещения о проведении закупки. </w:t>
      </w:r>
    </w:p>
    <w:p w:rsidR="00C65048" w:rsidRDefault="00507779" w:rsidP="00C65048">
      <w:pPr>
        <w:spacing w:after="0" w:line="360" w:lineRule="auto"/>
        <w:ind w:left="709"/>
        <w:jc w:val="both"/>
        <w:rPr>
          <w:i/>
          <w:iCs/>
          <w:sz w:val="24"/>
          <w:szCs w:val="24"/>
        </w:rPr>
      </w:pPr>
      <w:r w:rsidRPr="00507779">
        <w:rPr>
          <w:i/>
          <w:iCs/>
          <w:sz w:val="24"/>
          <w:szCs w:val="24"/>
        </w:rPr>
        <w:t xml:space="preserve">Более подробно изменения описаны </w:t>
      </w:r>
      <w:r w:rsidRPr="00D82E23">
        <w:rPr>
          <w:i/>
          <w:iCs/>
          <w:sz w:val="24"/>
          <w:szCs w:val="24"/>
        </w:rPr>
        <w:t>в п.4.4.2 инструкции</w:t>
      </w:r>
      <w:r w:rsidRPr="004576BA">
        <w:rPr>
          <w:i/>
          <w:iCs/>
          <w:sz w:val="24"/>
          <w:szCs w:val="24"/>
        </w:rPr>
        <w:t xml:space="preserve"> по подсистеме</w:t>
      </w:r>
      <w:r>
        <w:rPr>
          <w:i/>
          <w:iCs/>
          <w:sz w:val="24"/>
          <w:szCs w:val="24"/>
        </w:rPr>
        <w:t xml:space="preserve"> «Осуществление закупок» от </w:t>
      </w:r>
      <w:r w:rsidR="00C65048">
        <w:rPr>
          <w:i/>
          <w:iCs/>
          <w:sz w:val="24"/>
          <w:szCs w:val="24"/>
        </w:rPr>
        <w:t>22</w:t>
      </w:r>
      <w:r>
        <w:rPr>
          <w:i/>
          <w:iCs/>
          <w:sz w:val="24"/>
          <w:szCs w:val="24"/>
        </w:rPr>
        <w:t>.04.2020 г.</w:t>
      </w:r>
    </w:p>
    <w:p w:rsidR="00C65048" w:rsidRDefault="00C65048" w:rsidP="00C65048">
      <w:pPr>
        <w:spacing w:after="0" w:line="360" w:lineRule="auto"/>
        <w:ind w:left="709"/>
        <w:jc w:val="both"/>
        <w:rPr>
          <w:i/>
          <w:iCs/>
          <w:sz w:val="24"/>
          <w:szCs w:val="24"/>
        </w:rPr>
      </w:pPr>
    </w:p>
    <w:p w:rsidR="00C65048" w:rsidRPr="00D82E23" w:rsidRDefault="00C65048" w:rsidP="00C65048">
      <w:pPr>
        <w:pStyle w:val="a3"/>
        <w:numPr>
          <w:ilvl w:val="0"/>
          <w:numId w:val="2"/>
        </w:numPr>
        <w:spacing w:line="360" w:lineRule="auto"/>
        <w:contextualSpacing w:val="0"/>
        <w:jc w:val="both"/>
        <w:rPr>
          <w:sz w:val="24"/>
          <w:szCs w:val="24"/>
        </w:rPr>
      </w:pPr>
      <w:r>
        <w:rPr>
          <w:sz w:val="24"/>
          <w:szCs w:val="24"/>
        </w:rPr>
        <w:t xml:space="preserve">В подсистеме «Осуществление закупок» реализовано отображение итоговой суммы по столбцу «НМЦК, руб.» с учетом фильтра. Итоговая сумма также отображается в файле при экспорте данных </w:t>
      </w:r>
      <w:r w:rsidRPr="00D82E23">
        <w:rPr>
          <w:sz w:val="24"/>
          <w:szCs w:val="24"/>
        </w:rPr>
        <w:t xml:space="preserve">списка в </w:t>
      </w:r>
      <w:r w:rsidRPr="00D82E23">
        <w:rPr>
          <w:sz w:val="24"/>
          <w:szCs w:val="24"/>
          <w:lang w:val="en-US"/>
        </w:rPr>
        <w:t>Excel</w:t>
      </w:r>
      <w:r w:rsidRPr="00D82E23">
        <w:rPr>
          <w:sz w:val="24"/>
          <w:szCs w:val="24"/>
        </w:rPr>
        <w:t xml:space="preserve">. </w:t>
      </w:r>
    </w:p>
    <w:p w:rsidR="005074E4" w:rsidRPr="005074E4" w:rsidRDefault="005074E4" w:rsidP="005074E4">
      <w:pPr>
        <w:spacing w:after="0" w:line="360" w:lineRule="auto"/>
        <w:ind w:left="709"/>
        <w:jc w:val="both"/>
        <w:rPr>
          <w:sz w:val="24"/>
          <w:szCs w:val="24"/>
        </w:rPr>
      </w:pPr>
      <w:r w:rsidRPr="00D82E23">
        <w:rPr>
          <w:i/>
          <w:iCs/>
          <w:sz w:val="24"/>
          <w:szCs w:val="24"/>
        </w:rPr>
        <w:t>Более подробно изменения описаны в п.4.4.1 инструкции</w:t>
      </w:r>
      <w:r w:rsidRPr="005074E4">
        <w:rPr>
          <w:i/>
          <w:iCs/>
          <w:sz w:val="24"/>
          <w:szCs w:val="24"/>
        </w:rPr>
        <w:t xml:space="preserve"> по подсистеме «Осуществление закупок» от 22.04.2020 г</w:t>
      </w:r>
    </w:p>
    <w:p w:rsidR="00580655" w:rsidRDefault="00580655" w:rsidP="00E16FEB">
      <w:pPr>
        <w:pStyle w:val="a3"/>
        <w:spacing w:line="360" w:lineRule="auto"/>
        <w:contextualSpacing w:val="0"/>
        <w:jc w:val="center"/>
        <w:rPr>
          <w:b/>
          <w:bCs/>
          <w:sz w:val="24"/>
          <w:szCs w:val="24"/>
        </w:rPr>
      </w:pPr>
    </w:p>
    <w:p w:rsidR="00E16FEB" w:rsidRPr="00920FBD" w:rsidRDefault="00E16FEB" w:rsidP="00E16FEB">
      <w:pPr>
        <w:pStyle w:val="a3"/>
        <w:spacing w:line="360" w:lineRule="auto"/>
        <w:contextualSpacing w:val="0"/>
        <w:jc w:val="center"/>
        <w:rPr>
          <w:b/>
          <w:bCs/>
          <w:sz w:val="24"/>
          <w:szCs w:val="24"/>
        </w:rPr>
      </w:pPr>
      <w:r w:rsidRPr="00920FBD">
        <w:rPr>
          <w:b/>
          <w:bCs/>
          <w:sz w:val="24"/>
          <w:szCs w:val="24"/>
        </w:rPr>
        <w:t>Подсистема «</w:t>
      </w:r>
      <w:r w:rsidR="007878E1">
        <w:rPr>
          <w:b/>
          <w:bCs/>
          <w:sz w:val="24"/>
          <w:szCs w:val="24"/>
        </w:rPr>
        <w:t>Контракты</w:t>
      </w:r>
      <w:r w:rsidRPr="00920FBD">
        <w:rPr>
          <w:b/>
          <w:bCs/>
          <w:sz w:val="24"/>
          <w:szCs w:val="24"/>
        </w:rPr>
        <w:t>»</w:t>
      </w:r>
    </w:p>
    <w:p w:rsidR="00962375" w:rsidRDefault="00975950" w:rsidP="00017478">
      <w:pPr>
        <w:pStyle w:val="a3"/>
        <w:numPr>
          <w:ilvl w:val="0"/>
          <w:numId w:val="2"/>
        </w:numPr>
        <w:spacing w:line="360" w:lineRule="auto"/>
        <w:contextualSpacing w:val="0"/>
        <w:jc w:val="both"/>
        <w:rPr>
          <w:sz w:val="24"/>
          <w:szCs w:val="24"/>
        </w:rPr>
      </w:pPr>
      <w:r>
        <w:rPr>
          <w:sz w:val="24"/>
          <w:szCs w:val="24"/>
        </w:rPr>
        <w:t xml:space="preserve">В карточке контракта реализована возможность указания в блоке «Дополнительные получатели платежей по контракту» в качестве дополнительного </w:t>
      </w:r>
      <w:r>
        <w:rPr>
          <w:sz w:val="24"/>
          <w:szCs w:val="24"/>
        </w:rPr>
        <w:lastRenderedPageBreak/>
        <w:t>получателя организацию, которая является поставщиком по контракту. Возможность предоставлена в случае необходимости оплаты</w:t>
      </w:r>
      <w:r w:rsidR="00E005D2">
        <w:rPr>
          <w:sz w:val="24"/>
          <w:szCs w:val="24"/>
        </w:rPr>
        <w:t xml:space="preserve"> по контракту</w:t>
      </w:r>
      <w:r>
        <w:rPr>
          <w:sz w:val="24"/>
          <w:szCs w:val="24"/>
        </w:rPr>
        <w:t xml:space="preserve"> одному поставщику на разные расчетные</w:t>
      </w:r>
      <w:r w:rsidR="00E005D2">
        <w:rPr>
          <w:sz w:val="24"/>
          <w:szCs w:val="24"/>
        </w:rPr>
        <w:t xml:space="preserve">/лицевые счета. </w:t>
      </w:r>
    </w:p>
    <w:p w:rsidR="00E005D2" w:rsidRDefault="00E005D2" w:rsidP="00017478">
      <w:pPr>
        <w:pStyle w:val="a3"/>
        <w:numPr>
          <w:ilvl w:val="0"/>
          <w:numId w:val="2"/>
        </w:numPr>
        <w:spacing w:line="360" w:lineRule="auto"/>
        <w:contextualSpacing w:val="0"/>
        <w:jc w:val="both"/>
        <w:rPr>
          <w:sz w:val="24"/>
          <w:szCs w:val="24"/>
        </w:rPr>
      </w:pPr>
      <w:r>
        <w:rPr>
          <w:sz w:val="24"/>
          <w:szCs w:val="24"/>
        </w:rPr>
        <w:t>Для контрактов, заключаемых с единственным поставщиком (способ определения поставщика в связанном лоте – закупка у единственного поставщика), реализована возможность удаления контракта, по которому ЭД «Сведения из проекта контракта» ранее уже направлялись в «АЦК-Финансы».</w:t>
      </w:r>
    </w:p>
    <w:p w:rsidR="00E005D2" w:rsidRDefault="00E005D2" w:rsidP="005234BC">
      <w:pPr>
        <w:pStyle w:val="a3"/>
        <w:spacing w:line="360" w:lineRule="auto"/>
        <w:contextualSpacing w:val="0"/>
        <w:jc w:val="center"/>
        <w:rPr>
          <w:b/>
          <w:bCs/>
          <w:sz w:val="24"/>
          <w:szCs w:val="24"/>
        </w:rPr>
      </w:pPr>
    </w:p>
    <w:p w:rsidR="005234BC" w:rsidRDefault="005234BC" w:rsidP="005234BC">
      <w:pPr>
        <w:pStyle w:val="a3"/>
        <w:spacing w:line="360" w:lineRule="auto"/>
        <w:contextualSpacing w:val="0"/>
        <w:jc w:val="center"/>
        <w:rPr>
          <w:b/>
          <w:bCs/>
          <w:sz w:val="24"/>
          <w:szCs w:val="24"/>
        </w:rPr>
      </w:pPr>
      <w:r w:rsidRPr="00DA33AF">
        <w:rPr>
          <w:b/>
          <w:bCs/>
          <w:sz w:val="24"/>
          <w:szCs w:val="24"/>
        </w:rPr>
        <w:t>Подсистема «</w:t>
      </w:r>
      <w:r>
        <w:rPr>
          <w:b/>
          <w:bCs/>
          <w:sz w:val="24"/>
          <w:szCs w:val="24"/>
        </w:rPr>
        <w:t>НСИ</w:t>
      </w:r>
      <w:r w:rsidRPr="00DA33AF">
        <w:rPr>
          <w:b/>
          <w:bCs/>
          <w:sz w:val="24"/>
          <w:szCs w:val="24"/>
        </w:rPr>
        <w:t>»</w:t>
      </w:r>
    </w:p>
    <w:p w:rsidR="00FF4D7D" w:rsidRDefault="00E267E7" w:rsidP="00017478">
      <w:pPr>
        <w:pStyle w:val="a3"/>
        <w:numPr>
          <w:ilvl w:val="0"/>
          <w:numId w:val="2"/>
        </w:numPr>
        <w:spacing w:line="360" w:lineRule="auto"/>
        <w:ind w:left="714" w:hanging="357"/>
        <w:contextualSpacing w:val="0"/>
        <w:jc w:val="both"/>
        <w:rPr>
          <w:sz w:val="24"/>
          <w:szCs w:val="24"/>
        </w:rPr>
      </w:pPr>
      <w:r>
        <w:rPr>
          <w:sz w:val="24"/>
          <w:szCs w:val="24"/>
        </w:rPr>
        <w:t xml:space="preserve">В разделе ОКПД-2 реализована возможность массового изменения данных блоков «Национальный режим» и «Признаки» в позициях ОКПД-2. </w:t>
      </w:r>
      <w:r w:rsidR="00421876">
        <w:rPr>
          <w:sz w:val="24"/>
          <w:szCs w:val="24"/>
        </w:rPr>
        <w:t xml:space="preserve"> </w:t>
      </w:r>
    </w:p>
    <w:p w:rsidR="00451CE0" w:rsidRPr="00E267E7" w:rsidRDefault="00567377" w:rsidP="00567377">
      <w:pPr>
        <w:pStyle w:val="a3"/>
        <w:spacing w:line="360" w:lineRule="auto"/>
        <w:contextualSpacing w:val="0"/>
        <w:jc w:val="both"/>
        <w:rPr>
          <w:i/>
          <w:iCs/>
          <w:sz w:val="24"/>
          <w:szCs w:val="24"/>
        </w:rPr>
      </w:pPr>
      <w:r w:rsidRPr="00E267E7">
        <w:rPr>
          <w:i/>
          <w:iCs/>
          <w:sz w:val="24"/>
          <w:szCs w:val="24"/>
        </w:rPr>
        <w:t xml:space="preserve">Более подробно изменения </w:t>
      </w:r>
      <w:r w:rsidRPr="00D82E23">
        <w:rPr>
          <w:i/>
          <w:iCs/>
          <w:sz w:val="24"/>
          <w:szCs w:val="24"/>
        </w:rPr>
        <w:t>описаны в п.</w:t>
      </w:r>
      <w:r w:rsidR="00B7340B">
        <w:rPr>
          <w:i/>
          <w:iCs/>
          <w:sz w:val="24"/>
          <w:szCs w:val="24"/>
        </w:rPr>
        <w:t>3.3.3</w:t>
      </w:r>
      <w:r w:rsidR="00522433" w:rsidRPr="00D82E23">
        <w:rPr>
          <w:i/>
          <w:iCs/>
          <w:sz w:val="24"/>
          <w:szCs w:val="24"/>
        </w:rPr>
        <w:t>.</w:t>
      </w:r>
      <w:r w:rsidR="00B7340B">
        <w:rPr>
          <w:i/>
          <w:iCs/>
          <w:sz w:val="24"/>
          <w:szCs w:val="24"/>
        </w:rPr>
        <w:t>4</w:t>
      </w:r>
      <w:r w:rsidRPr="00D82E23">
        <w:rPr>
          <w:i/>
          <w:iCs/>
          <w:sz w:val="24"/>
          <w:szCs w:val="24"/>
        </w:rPr>
        <w:t xml:space="preserve"> инструкции</w:t>
      </w:r>
      <w:r w:rsidRPr="00E267E7">
        <w:rPr>
          <w:i/>
          <w:iCs/>
          <w:sz w:val="24"/>
          <w:szCs w:val="24"/>
        </w:rPr>
        <w:t xml:space="preserve"> </w:t>
      </w:r>
      <w:r w:rsidR="00E267E7">
        <w:rPr>
          <w:i/>
          <w:iCs/>
          <w:sz w:val="24"/>
          <w:szCs w:val="24"/>
        </w:rPr>
        <w:t>Администратора</w:t>
      </w:r>
      <w:r w:rsidRPr="00E267E7">
        <w:rPr>
          <w:i/>
          <w:iCs/>
          <w:sz w:val="24"/>
          <w:szCs w:val="24"/>
        </w:rPr>
        <w:t xml:space="preserve"> НСИ от </w:t>
      </w:r>
      <w:r w:rsidR="00E267E7">
        <w:rPr>
          <w:i/>
          <w:iCs/>
          <w:sz w:val="24"/>
          <w:szCs w:val="24"/>
        </w:rPr>
        <w:t>22</w:t>
      </w:r>
      <w:r w:rsidRPr="00E267E7">
        <w:rPr>
          <w:i/>
          <w:iCs/>
          <w:sz w:val="24"/>
          <w:szCs w:val="24"/>
        </w:rPr>
        <w:t>.0</w:t>
      </w:r>
      <w:r w:rsidR="0058731A" w:rsidRPr="00E267E7">
        <w:rPr>
          <w:i/>
          <w:iCs/>
          <w:sz w:val="24"/>
          <w:szCs w:val="24"/>
        </w:rPr>
        <w:t>4</w:t>
      </w:r>
      <w:r w:rsidRPr="00E267E7">
        <w:rPr>
          <w:i/>
          <w:iCs/>
          <w:sz w:val="24"/>
          <w:szCs w:val="24"/>
        </w:rPr>
        <w:t xml:space="preserve">.2020 г. </w:t>
      </w:r>
    </w:p>
    <w:p w:rsidR="00C65048" w:rsidRDefault="00C65048" w:rsidP="0058731A">
      <w:pPr>
        <w:pStyle w:val="a3"/>
        <w:numPr>
          <w:ilvl w:val="0"/>
          <w:numId w:val="2"/>
        </w:numPr>
        <w:spacing w:line="360" w:lineRule="auto"/>
        <w:ind w:left="714" w:hanging="357"/>
        <w:contextualSpacing w:val="0"/>
        <w:jc w:val="both"/>
        <w:rPr>
          <w:sz w:val="24"/>
          <w:szCs w:val="24"/>
        </w:rPr>
      </w:pPr>
      <w:r>
        <w:rPr>
          <w:sz w:val="24"/>
          <w:szCs w:val="24"/>
        </w:rPr>
        <w:t>При массовом изменении позиций справочника «Заказчики» добавлена возможность изменения поля «Тип бюджета».</w:t>
      </w:r>
    </w:p>
    <w:p w:rsidR="00C65048" w:rsidRPr="00E267E7" w:rsidRDefault="00C65048" w:rsidP="00C65048">
      <w:pPr>
        <w:pStyle w:val="a3"/>
        <w:spacing w:line="360" w:lineRule="auto"/>
        <w:contextualSpacing w:val="0"/>
        <w:jc w:val="both"/>
        <w:rPr>
          <w:i/>
          <w:iCs/>
          <w:sz w:val="24"/>
          <w:szCs w:val="24"/>
        </w:rPr>
      </w:pPr>
      <w:r w:rsidRPr="00103009">
        <w:rPr>
          <w:i/>
          <w:iCs/>
          <w:sz w:val="24"/>
          <w:szCs w:val="24"/>
        </w:rPr>
        <w:t>Более подробно изменения описаны в п.3.4.1.</w:t>
      </w:r>
      <w:r w:rsidR="00103009" w:rsidRPr="00103009">
        <w:rPr>
          <w:i/>
          <w:iCs/>
          <w:sz w:val="24"/>
          <w:szCs w:val="24"/>
        </w:rPr>
        <w:t>4</w:t>
      </w:r>
      <w:r w:rsidRPr="00103009">
        <w:rPr>
          <w:i/>
          <w:iCs/>
          <w:sz w:val="24"/>
          <w:szCs w:val="24"/>
        </w:rPr>
        <w:t xml:space="preserve"> инструкции Администратора НСИ от 22.04.2020 г.</w:t>
      </w:r>
      <w:r w:rsidRPr="00E267E7">
        <w:rPr>
          <w:i/>
          <w:iCs/>
          <w:sz w:val="24"/>
          <w:szCs w:val="24"/>
        </w:rPr>
        <w:t xml:space="preserve"> </w:t>
      </w:r>
    </w:p>
    <w:p w:rsidR="00C65048" w:rsidRDefault="0058731A" w:rsidP="0058731A">
      <w:pPr>
        <w:pStyle w:val="a3"/>
        <w:numPr>
          <w:ilvl w:val="0"/>
          <w:numId w:val="2"/>
        </w:numPr>
        <w:spacing w:line="360" w:lineRule="auto"/>
        <w:ind w:left="714" w:hanging="357"/>
        <w:contextualSpacing w:val="0"/>
        <w:jc w:val="both"/>
        <w:rPr>
          <w:sz w:val="24"/>
          <w:szCs w:val="24"/>
        </w:rPr>
      </w:pPr>
      <w:r>
        <w:rPr>
          <w:sz w:val="24"/>
          <w:szCs w:val="24"/>
        </w:rPr>
        <w:t>Для заявок на изменени</w:t>
      </w:r>
      <w:r w:rsidR="00C65048">
        <w:rPr>
          <w:sz w:val="24"/>
          <w:szCs w:val="24"/>
        </w:rPr>
        <w:t>е</w:t>
      </w:r>
      <w:r>
        <w:rPr>
          <w:sz w:val="24"/>
          <w:szCs w:val="24"/>
        </w:rPr>
        <w:t xml:space="preserve"> позиций справочников</w:t>
      </w:r>
      <w:r w:rsidR="00E267E7">
        <w:rPr>
          <w:sz w:val="24"/>
          <w:szCs w:val="24"/>
        </w:rPr>
        <w:t xml:space="preserve"> «Заказчики» и «Поставщики» </w:t>
      </w:r>
      <w:r>
        <w:rPr>
          <w:sz w:val="24"/>
          <w:szCs w:val="24"/>
        </w:rPr>
        <w:t>реализован</w:t>
      </w:r>
      <w:r w:rsidR="00C65048">
        <w:rPr>
          <w:sz w:val="24"/>
          <w:szCs w:val="24"/>
        </w:rPr>
        <w:t xml:space="preserve">а проверка на наличие фактических изменений в данных позиции. Если изменения внесены не были, то отправка заявки оператору будет невозможна. </w:t>
      </w:r>
    </w:p>
    <w:p w:rsidR="0058731A" w:rsidRDefault="00C65048" w:rsidP="0058731A">
      <w:pPr>
        <w:pStyle w:val="a3"/>
        <w:numPr>
          <w:ilvl w:val="0"/>
          <w:numId w:val="2"/>
        </w:numPr>
        <w:spacing w:line="360" w:lineRule="auto"/>
        <w:ind w:left="714" w:hanging="357"/>
        <w:contextualSpacing w:val="0"/>
        <w:jc w:val="both"/>
        <w:rPr>
          <w:sz w:val="24"/>
          <w:szCs w:val="24"/>
        </w:rPr>
      </w:pPr>
      <w:r>
        <w:rPr>
          <w:sz w:val="24"/>
          <w:szCs w:val="24"/>
        </w:rPr>
        <w:t>Для заявок на изменение позиций справочника «Заказчики» реализована возможность изменения КПП организации.</w:t>
      </w:r>
      <w:r w:rsidR="0058731A">
        <w:rPr>
          <w:sz w:val="24"/>
          <w:szCs w:val="24"/>
        </w:rPr>
        <w:t xml:space="preserve"> </w:t>
      </w:r>
    </w:p>
    <w:p w:rsidR="00103009" w:rsidRPr="00E267E7" w:rsidRDefault="00103009" w:rsidP="00103009">
      <w:pPr>
        <w:pStyle w:val="a3"/>
        <w:spacing w:line="360" w:lineRule="auto"/>
        <w:contextualSpacing w:val="0"/>
        <w:jc w:val="both"/>
        <w:rPr>
          <w:i/>
          <w:iCs/>
          <w:sz w:val="24"/>
          <w:szCs w:val="24"/>
        </w:rPr>
      </w:pPr>
      <w:r w:rsidRPr="00103009">
        <w:rPr>
          <w:i/>
          <w:iCs/>
          <w:sz w:val="24"/>
          <w:szCs w:val="24"/>
        </w:rPr>
        <w:t>Более подробно изменения описаны в п.3.</w:t>
      </w:r>
      <w:r>
        <w:rPr>
          <w:i/>
          <w:iCs/>
          <w:sz w:val="24"/>
          <w:szCs w:val="24"/>
        </w:rPr>
        <w:t>6</w:t>
      </w:r>
      <w:r w:rsidRPr="00103009">
        <w:rPr>
          <w:i/>
          <w:iCs/>
          <w:sz w:val="24"/>
          <w:szCs w:val="24"/>
        </w:rPr>
        <w:t>.</w:t>
      </w:r>
      <w:r>
        <w:rPr>
          <w:i/>
          <w:iCs/>
          <w:sz w:val="24"/>
          <w:szCs w:val="24"/>
        </w:rPr>
        <w:t>3</w:t>
      </w:r>
      <w:r w:rsidRPr="00103009">
        <w:rPr>
          <w:i/>
          <w:iCs/>
          <w:sz w:val="24"/>
          <w:szCs w:val="24"/>
        </w:rPr>
        <w:t xml:space="preserve"> инструкции </w:t>
      </w:r>
      <w:r>
        <w:rPr>
          <w:i/>
          <w:iCs/>
          <w:sz w:val="24"/>
          <w:szCs w:val="24"/>
        </w:rPr>
        <w:t>Заказчика</w:t>
      </w:r>
      <w:r w:rsidRPr="00103009">
        <w:rPr>
          <w:i/>
          <w:iCs/>
          <w:sz w:val="24"/>
          <w:szCs w:val="24"/>
        </w:rPr>
        <w:t xml:space="preserve"> НСИ от 22.04.2020 г.</w:t>
      </w:r>
      <w:r w:rsidRPr="00E267E7">
        <w:rPr>
          <w:i/>
          <w:iCs/>
          <w:sz w:val="24"/>
          <w:szCs w:val="24"/>
        </w:rPr>
        <w:t xml:space="preserve"> </w:t>
      </w:r>
    </w:p>
    <w:p w:rsidR="00C65048" w:rsidRDefault="00C65048" w:rsidP="0058731A">
      <w:pPr>
        <w:pStyle w:val="a3"/>
        <w:numPr>
          <w:ilvl w:val="0"/>
          <w:numId w:val="2"/>
        </w:numPr>
        <w:spacing w:line="360" w:lineRule="auto"/>
        <w:ind w:left="714" w:hanging="357"/>
        <w:contextualSpacing w:val="0"/>
        <w:jc w:val="both"/>
        <w:rPr>
          <w:sz w:val="24"/>
          <w:szCs w:val="24"/>
        </w:rPr>
      </w:pPr>
      <w:r>
        <w:rPr>
          <w:sz w:val="24"/>
          <w:szCs w:val="24"/>
        </w:rPr>
        <w:t xml:space="preserve">В карточку позиции СПГЗ в блок «Признаки» добавлен новый признак «Закупка для оборонно-промышленного комплекса». По умолчанию признак имеет значение «Нет». </w:t>
      </w:r>
    </w:p>
    <w:p w:rsidR="009A181A" w:rsidRDefault="009A181A" w:rsidP="001F086D">
      <w:pPr>
        <w:pStyle w:val="a3"/>
        <w:spacing w:line="360" w:lineRule="auto"/>
        <w:contextualSpacing w:val="0"/>
        <w:jc w:val="center"/>
        <w:rPr>
          <w:b/>
          <w:bCs/>
          <w:sz w:val="24"/>
          <w:szCs w:val="24"/>
        </w:rPr>
      </w:pPr>
    </w:p>
    <w:p w:rsidR="001F086D" w:rsidRDefault="001F086D" w:rsidP="001F086D">
      <w:pPr>
        <w:pStyle w:val="a3"/>
        <w:spacing w:line="360" w:lineRule="auto"/>
        <w:contextualSpacing w:val="0"/>
        <w:jc w:val="center"/>
        <w:rPr>
          <w:b/>
          <w:bCs/>
          <w:sz w:val="24"/>
          <w:szCs w:val="24"/>
        </w:rPr>
      </w:pPr>
      <w:r>
        <w:rPr>
          <w:b/>
          <w:bCs/>
          <w:sz w:val="24"/>
          <w:szCs w:val="24"/>
        </w:rPr>
        <w:lastRenderedPageBreak/>
        <w:t>Подсистема «Библиотека типовой документации»</w:t>
      </w:r>
    </w:p>
    <w:p w:rsidR="00975950" w:rsidRPr="009A786F" w:rsidRDefault="00975950" w:rsidP="00975950">
      <w:pPr>
        <w:pStyle w:val="a3"/>
        <w:numPr>
          <w:ilvl w:val="0"/>
          <w:numId w:val="2"/>
        </w:numPr>
        <w:spacing w:line="360" w:lineRule="auto"/>
        <w:ind w:left="714" w:hanging="357"/>
        <w:contextualSpacing w:val="0"/>
        <w:jc w:val="both"/>
        <w:rPr>
          <w:i/>
          <w:iCs/>
          <w:sz w:val="24"/>
          <w:szCs w:val="24"/>
        </w:rPr>
      </w:pPr>
      <w:r>
        <w:rPr>
          <w:sz w:val="24"/>
          <w:szCs w:val="24"/>
        </w:rPr>
        <w:t xml:space="preserve">В карточку шаблона типового технического задания/проекта контракта добавлен признак «Обязательное применение шаблона». По умолчанию признак имеет значение «Нет». При установке значения «Да» в данном признаке при формировании лота заказчиком будет осуществляться контроль на обязательность применения шаблона: при формировании спецификаций лота контролируется, что в один лот не могут быть объединены позиции СПГЗ, имеющие </w:t>
      </w:r>
      <w:r w:rsidRPr="00975950">
        <w:rPr>
          <w:sz w:val="24"/>
          <w:szCs w:val="24"/>
          <w:u w:val="single"/>
        </w:rPr>
        <w:t>разный</w:t>
      </w:r>
      <w:r>
        <w:rPr>
          <w:sz w:val="24"/>
          <w:szCs w:val="24"/>
        </w:rPr>
        <w:t xml:space="preserve"> шаблон типового технического задания/проекта контракта.</w:t>
      </w:r>
    </w:p>
    <w:p w:rsidR="009A786F" w:rsidRDefault="009A786F" w:rsidP="009A786F">
      <w:pPr>
        <w:pStyle w:val="a3"/>
        <w:keepNext/>
        <w:spacing w:line="360" w:lineRule="auto"/>
        <w:ind w:left="646"/>
        <w:jc w:val="center"/>
        <w:rPr>
          <w:b/>
          <w:bCs/>
          <w:sz w:val="24"/>
          <w:szCs w:val="24"/>
        </w:rPr>
      </w:pPr>
    </w:p>
    <w:p w:rsidR="009A786F" w:rsidRDefault="009A786F" w:rsidP="009A786F">
      <w:pPr>
        <w:pStyle w:val="a3"/>
        <w:keepNext/>
        <w:spacing w:line="360" w:lineRule="auto"/>
        <w:ind w:left="646"/>
        <w:jc w:val="center"/>
        <w:rPr>
          <w:b/>
          <w:bCs/>
          <w:sz w:val="24"/>
          <w:szCs w:val="24"/>
        </w:rPr>
      </w:pPr>
      <w:r>
        <w:rPr>
          <w:b/>
          <w:bCs/>
          <w:sz w:val="24"/>
          <w:szCs w:val="24"/>
        </w:rPr>
        <w:t>Подсистема «Аналитика»</w:t>
      </w:r>
    </w:p>
    <w:p w:rsidR="009A786F" w:rsidRPr="00847735" w:rsidRDefault="009A786F" w:rsidP="009A786F">
      <w:pPr>
        <w:pStyle w:val="a3"/>
        <w:numPr>
          <w:ilvl w:val="0"/>
          <w:numId w:val="5"/>
        </w:numPr>
        <w:spacing w:line="360" w:lineRule="auto"/>
        <w:jc w:val="both"/>
        <w:rPr>
          <w:sz w:val="24"/>
          <w:szCs w:val="24"/>
        </w:rPr>
      </w:pPr>
      <w:r>
        <w:rPr>
          <w:sz w:val="24"/>
          <w:szCs w:val="24"/>
        </w:rPr>
        <w:t>В разделе «Выгрузки» добавлена выгрузка «</w:t>
      </w:r>
      <w:r w:rsidRPr="00847735">
        <w:rPr>
          <w:sz w:val="24"/>
          <w:szCs w:val="24"/>
        </w:rPr>
        <w:t>Осуществление закупок в рамках реализации национальных проектов».</w:t>
      </w:r>
    </w:p>
    <w:p w:rsidR="009A786F" w:rsidRPr="00E005D2" w:rsidRDefault="009A786F" w:rsidP="009A786F">
      <w:pPr>
        <w:pStyle w:val="a3"/>
        <w:spacing w:line="360" w:lineRule="auto"/>
        <w:ind w:left="714"/>
        <w:contextualSpacing w:val="0"/>
        <w:jc w:val="both"/>
        <w:rPr>
          <w:i/>
          <w:iCs/>
          <w:sz w:val="24"/>
          <w:szCs w:val="24"/>
        </w:rPr>
      </w:pPr>
    </w:p>
    <w:p w:rsidR="00E005D2" w:rsidRDefault="00E005D2" w:rsidP="00E005D2">
      <w:pPr>
        <w:pStyle w:val="a3"/>
        <w:spacing w:line="360" w:lineRule="auto"/>
        <w:contextualSpacing w:val="0"/>
        <w:jc w:val="center"/>
        <w:rPr>
          <w:b/>
          <w:bCs/>
          <w:sz w:val="24"/>
          <w:szCs w:val="24"/>
        </w:rPr>
      </w:pPr>
      <w:r>
        <w:rPr>
          <w:b/>
          <w:bCs/>
          <w:sz w:val="24"/>
          <w:szCs w:val="24"/>
        </w:rPr>
        <w:t xml:space="preserve">Открытая часть </w:t>
      </w:r>
    </w:p>
    <w:p w:rsidR="00E005D2" w:rsidRDefault="00E005D2" w:rsidP="00E005D2">
      <w:pPr>
        <w:pStyle w:val="a3"/>
        <w:numPr>
          <w:ilvl w:val="0"/>
          <w:numId w:val="2"/>
        </w:numPr>
        <w:spacing w:line="360" w:lineRule="auto"/>
        <w:ind w:left="714" w:hanging="357"/>
        <w:contextualSpacing w:val="0"/>
        <w:jc w:val="both"/>
        <w:rPr>
          <w:sz w:val="24"/>
          <w:szCs w:val="24"/>
        </w:rPr>
      </w:pPr>
      <w:r>
        <w:rPr>
          <w:sz w:val="24"/>
          <w:szCs w:val="24"/>
        </w:rPr>
        <w:t xml:space="preserve">В разделе «Каталог ТРУ» открытой части Системы реализована возможность фильтрации позиций по признакам: </w:t>
      </w:r>
    </w:p>
    <w:p w:rsidR="00E005D2" w:rsidRDefault="00E005D2" w:rsidP="00E005D2">
      <w:pPr>
        <w:pStyle w:val="a3"/>
        <w:numPr>
          <w:ilvl w:val="0"/>
          <w:numId w:val="4"/>
        </w:numPr>
        <w:spacing w:line="360" w:lineRule="auto"/>
        <w:contextualSpacing w:val="0"/>
        <w:jc w:val="both"/>
        <w:rPr>
          <w:sz w:val="24"/>
          <w:szCs w:val="24"/>
        </w:rPr>
      </w:pPr>
      <w:r>
        <w:rPr>
          <w:sz w:val="24"/>
          <w:szCs w:val="24"/>
        </w:rPr>
        <w:t>Есть типовое техническое задание;</w:t>
      </w:r>
    </w:p>
    <w:p w:rsidR="00E005D2" w:rsidRDefault="00E005D2" w:rsidP="00E005D2">
      <w:pPr>
        <w:pStyle w:val="a3"/>
        <w:numPr>
          <w:ilvl w:val="0"/>
          <w:numId w:val="4"/>
        </w:numPr>
        <w:spacing w:line="360" w:lineRule="auto"/>
        <w:contextualSpacing w:val="0"/>
        <w:jc w:val="both"/>
        <w:rPr>
          <w:sz w:val="24"/>
          <w:szCs w:val="24"/>
        </w:rPr>
      </w:pPr>
      <w:r>
        <w:rPr>
          <w:sz w:val="24"/>
          <w:szCs w:val="24"/>
        </w:rPr>
        <w:t>Есть типовой проект контракта;</w:t>
      </w:r>
    </w:p>
    <w:p w:rsidR="00E005D2" w:rsidRDefault="00E005D2" w:rsidP="00E005D2">
      <w:pPr>
        <w:pStyle w:val="a3"/>
        <w:numPr>
          <w:ilvl w:val="0"/>
          <w:numId w:val="4"/>
        </w:numPr>
        <w:spacing w:line="360" w:lineRule="auto"/>
        <w:contextualSpacing w:val="0"/>
        <w:jc w:val="both"/>
        <w:rPr>
          <w:sz w:val="24"/>
          <w:szCs w:val="24"/>
        </w:rPr>
      </w:pPr>
      <w:r>
        <w:rPr>
          <w:sz w:val="24"/>
          <w:szCs w:val="24"/>
        </w:rPr>
        <w:t>Есть утвержденная предельная цена.</w:t>
      </w:r>
    </w:p>
    <w:p w:rsidR="00E005D2" w:rsidRPr="00E005D2" w:rsidRDefault="00E005D2" w:rsidP="00E005D2">
      <w:pPr>
        <w:spacing w:line="360" w:lineRule="auto"/>
        <w:jc w:val="both"/>
        <w:rPr>
          <w:sz w:val="24"/>
          <w:szCs w:val="24"/>
          <w:lang w:val="en-US"/>
        </w:rPr>
      </w:pPr>
      <w:r>
        <w:rPr>
          <w:noProof/>
          <w:sz w:val="24"/>
          <w:szCs w:val="24"/>
          <w:lang w:eastAsia="ru-RU"/>
        </w:rPr>
        <w:drawing>
          <wp:inline distT="0" distB="0" distL="0" distR="0">
            <wp:extent cx="5934075" cy="2876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2876550"/>
                    </a:xfrm>
                    <a:prstGeom prst="rect">
                      <a:avLst/>
                    </a:prstGeom>
                    <a:noFill/>
                    <a:ln>
                      <a:noFill/>
                    </a:ln>
                  </pic:spPr>
                </pic:pic>
              </a:graphicData>
            </a:graphic>
          </wp:inline>
        </w:drawing>
      </w:r>
    </w:p>
    <w:p w:rsidR="00E47BAC" w:rsidRPr="00554D6E" w:rsidRDefault="00E005D2" w:rsidP="00554D6E">
      <w:pPr>
        <w:pStyle w:val="a3"/>
        <w:numPr>
          <w:ilvl w:val="0"/>
          <w:numId w:val="2"/>
        </w:numPr>
        <w:spacing w:after="0" w:line="360" w:lineRule="auto"/>
        <w:ind w:left="714" w:hanging="357"/>
        <w:contextualSpacing w:val="0"/>
        <w:jc w:val="both"/>
        <w:rPr>
          <w:sz w:val="24"/>
          <w:szCs w:val="24"/>
        </w:rPr>
      </w:pPr>
      <w:r w:rsidRPr="00554D6E">
        <w:rPr>
          <w:sz w:val="24"/>
          <w:szCs w:val="24"/>
        </w:rPr>
        <w:lastRenderedPageBreak/>
        <w:t xml:space="preserve">В разделе «Каталог ТРУ» реализована возможность экспорта в </w:t>
      </w:r>
      <w:r w:rsidRPr="00554D6E">
        <w:rPr>
          <w:sz w:val="24"/>
          <w:szCs w:val="24"/>
          <w:lang w:val="en-US"/>
        </w:rPr>
        <w:t>Excel</w:t>
      </w:r>
      <w:r w:rsidRPr="00554D6E">
        <w:rPr>
          <w:sz w:val="24"/>
          <w:szCs w:val="24"/>
        </w:rPr>
        <w:t xml:space="preserve"> данных справочников КПГЗ</w:t>
      </w:r>
      <w:r w:rsidR="00554D6E" w:rsidRPr="00554D6E">
        <w:rPr>
          <w:sz w:val="24"/>
          <w:szCs w:val="24"/>
        </w:rPr>
        <w:t xml:space="preserve">/СПГЗ. Для выгрузки файла необходимо нажать на кнопку </w:t>
      </w:r>
      <w:r w:rsidR="00554D6E">
        <w:rPr>
          <w:noProof/>
          <w:sz w:val="24"/>
          <w:szCs w:val="24"/>
          <w:lang w:eastAsia="ru-RU"/>
        </w:rPr>
        <w:drawing>
          <wp:inline distT="0" distB="0" distL="0" distR="0">
            <wp:extent cx="352425" cy="352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52425"/>
                    </a:xfrm>
                    <a:prstGeom prst="rect">
                      <a:avLst/>
                    </a:prstGeom>
                    <a:noFill/>
                    <a:ln>
                      <a:noFill/>
                    </a:ln>
                  </pic:spPr>
                </pic:pic>
              </a:graphicData>
            </a:graphic>
          </wp:inline>
        </w:drawing>
      </w:r>
      <w:r w:rsidR="00554D6E" w:rsidRPr="00554D6E">
        <w:rPr>
          <w:sz w:val="24"/>
          <w:szCs w:val="24"/>
        </w:rPr>
        <w:t xml:space="preserve">. </w:t>
      </w:r>
    </w:p>
    <w:p w:rsidR="00554D6E" w:rsidRPr="004576BA" w:rsidRDefault="00554D6E" w:rsidP="00554D6E">
      <w:pPr>
        <w:pStyle w:val="a3"/>
        <w:spacing w:line="360" w:lineRule="auto"/>
        <w:ind w:left="714"/>
        <w:contextualSpacing w:val="0"/>
        <w:jc w:val="both"/>
        <w:rPr>
          <w:i/>
          <w:iCs/>
          <w:sz w:val="24"/>
          <w:szCs w:val="24"/>
        </w:rPr>
      </w:pPr>
    </w:p>
    <w:p w:rsidR="00E47BAC" w:rsidRDefault="00554D6E" w:rsidP="00E47BAC">
      <w:pPr>
        <w:spacing w:after="0" w:line="360" w:lineRule="auto"/>
        <w:jc w:val="both"/>
        <w:rPr>
          <w:sz w:val="24"/>
          <w:szCs w:val="24"/>
        </w:rPr>
      </w:pPr>
      <w:r>
        <w:rPr>
          <w:noProof/>
          <w:sz w:val="24"/>
          <w:szCs w:val="24"/>
          <w:lang w:eastAsia="ru-RU"/>
        </w:rPr>
        <w:drawing>
          <wp:inline distT="0" distB="0" distL="0" distR="0">
            <wp:extent cx="5934075" cy="2381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2381250"/>
                    </a:xfrm>
                    <a:prstGeom prst="rect">
                      <a:avLst/>
                    </a:prstGeom>
                    <a:noFill/>
                    <a:ln>
                      <a:noFill/>
                    </a:ln>
                  </pic:spPr>
                </pic:pic>
              </a:graphicData>
            </a:graphic>
          </wp:inline>
        </w:drawing>
      </w:r>
    </w:p>
    <w:sectPr w:rsidR="00E47BAC" w:rsidSect="00DA345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CD" w:rsidRDefault="00F630CD" w:rsidP="002D499B">
      <w:pPr>
        <w:spacing w:after="0" w:line="240" w:lineRule="auto"/>
      </w:pPr>
      <w:r>
        <w:separator/>
      </w:r>
    </w:p>
  </w:endnote>
  <w:endnote w:type="continuationSeparator" w:id="0">
    <w:p w:rsidR="00F630CD" w:rsidRDefault="00F630CD" w:rsidP="002D4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210274"/>
      <w:docPartObj>
        <w:docPartGallery w:val="Page Numbers (Bottom of Page)"/>
        <w:docPartUnique/>
      </w:docPartObj>
    </w:sdtPr>
    <w:sdtContent>
      <w:p w:rsidR="002D499B" w:rsidRDefault="00DA3453">
        <w:pPr>
          <w:pStyle w:val="af"/>
          <w:jc w:val="right"/>
        </w:pPr>
        <w:r>
          <w:fldChar w:fldCharType="begin"/>
        </w:r>
        <w:r w:rsidR="002D499B">
          <w:instrText>PAGE   \* MERGEFORMAT</w:instrText>
        </w:r>
        <w:r>
          <w:fldChar w:fldCharType="separate"/>
        </w:r>
        <w:r w:rsidR="00CF117B">
          <w:rPr>
            <w:noProof/>
          </w:rPr>
          <w:t>1</w:t>
        </w:r>
        <w:r>
          <w:fldChar w:fldCharType="end"/>
        </w:r>
      </w:p>
    </w:sdtContent>
  </w:sdt>
  <w:p w:rsidR="002D499B" w:rsidRDefault="002D499B" w:rsidP="002D499B">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CD" w:rsidRDefault="00F630CD" w:rsidP="002D499B">
      <w:pPr>
        <w:spacing w:after="0" w:line="240" w:lineRule="auto"/>
      </w:pPr>
      <w:r>
        <w:separator/>
      </w:r>
    </w:p>
  </w:footnote>
  <w:footnote w:type="continuationSeparator" w:id="0">
    <w:p w:rsidR="00F630CD" w:rsidRDefault="00F630CD" w:rsidP="002D4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99B" w:rsidRDefault="002D499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
    <w:nsid w:val="13CE6968"/>
    <w:multiLevelType w:val="hybridMultilevel"/>
    <w:tmpl w:val="69DED3EC"/>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597B"/>
    <w:rsid w:val="00006790"/>
    <w:rsid w:val="00016A2C"/>
    <w:rsid w:val="00016F54"/>
    <w:rsid w:val="00017478"/>
    <w:rsid w:val="00024271"/>
    <w:rsid w:val="00051B37"/>
    <w:rsid w:val="000535B4"/>
    <w:rsid w:val="00054A33"/>
    <w:rsid w:val="00060BC6"/>
    <w:rsid w:val="0006423A"/>
    <w:rsid w:val="000758DD"/>
    <w:rsid w:val="000848A2"/>
    <w:rsid w:val="00093083"/>
    <w:rsid w:val="00097EB8"/>
    <w:rsid w:val="000A31BB"/>
    <w:rsid w:val="000A7C73"/>
    <w:rsid w:val="000B2EE9"/>
    <w:rsid w:val="000C44AA"/>
    <w:rsid w:val="000C4F06"/>
    <w:rsid w:val="000C5614"/>
    <w:rsid w:val="000C78FC"/>
    <w:rsid w:val="000D2845"/>
    <w:rsid w:val="000D5B81"/>
    <w:rsid w:val="000D6B2C"/>
    <w:rsid w:val="000D6E16"/>
    <w:rsid w:val="000E220B"/>
    <w:rsid w:val="000E43A1"/>
    <w:rsid w:val="00101E96"/>
    <w:rsid w:val="00103009"/>
    <w:rsid w:val="00110A6C"/>
    <w:rsid w:val="00131F07"/>
    <w:rsid w:val="00144E64"/>
    <w:rsid w:val="00163F6D"/>
    <w:rsid w:val="0017429C"/>
    <w:rsid w:val="00175E2E"/>
    <w:rsid w:val="00185886"/>
    <w:rsid w:val="00194B75"/>
    <w:rsid w:val="00194BB5"/>
    <w:rsid w:val="001954E2"/>
    <w:rsid w:val="001961F1"/>
    <w:rsid w:val="001A6A0F"/>
    <w:rsid w:val="001A751B"/>
    <w:rsid w:val="001A7AEA"/>
    <w:rsid w:val="001B3090"/>
    <w:rsid w:val="001C349E"/>
    <w:rsid w:val="001C6222"/>
    <w:rsid w:val="001D4368"/>
    <w:rsid w:val="001D628F"/>
    <w:rsid w:val="001E2BFB"/>
    <w:rsid w:val="001E5194"/>
    <w:rsid w:val="001F086D"/>
    <w:rsid w:val="001F1B01"/>
    <w:rsid w:val="001F353F"/>
    <w:rsid w:val="001F5381"/>
    <w:rsid w:val="00200048"/>
    <w:rsid w:val="002030DD"/>
    <w:rsid w:val="002050DB"/>
    <w:rsid w:val="0022151B"/>
    <w:rsid w:val="00230FA9"/>
    <w:rsid w:val="00231C02"/>
    <w:rsid w:val="0023341B"/>
    <w:rsid w:val="0023709D"/>
    <w:rsid w:val="0023762F"/>
    <w:rsid w:val="002407E9"/>
    <w:rsid w:val="0024114C"/>
    <w:rsid w:val="002430CC"/>
    <w:rsid w:val="00244096"/>
    <w:rsid w:val="00245148"/>
    <w:rsid w:val="00252C98"/>
    <w:rsid w:val="00261B44"/>
    <w:rsid w:val="00264C4E"/>
    <w:rsid w:val="00265050"/>
    <w:rsid w:val="00277FE8"/>
    <w:rsid w:val="00280755"/>
    <w:rsid w:val="00281369"/>
    <w:rsid w:val="0029494D"/>
    <w:rsid w:val="002A1028"/>
    <w:rsid w:val="002A2FD4"/>
    <w:rsid w:val="002A2FF7"/>
    <w:rsid w:val="002A342B"/>
    <w:rsid w:val="002B0785"/>
    <w:rsid w:val="002B15EE"/>
    <w:rsid w:val="002B4A54"/>
    <w:rsid w:val="002B4D2A"/>
    <w:rsid w:val="002C1013"/>
    <w:rsid w:val="002C2053"/>
    <w:rsid w:val="002C7DB4"/>
    <w:rsid w:val="002C7F25"/>
    <w:rsid w:val="002D0EAE"/>
    <w:rsid w:val="002D1489"/>
    <w:rsid w:val="002D315A"/>
    <w:rsid w:val="002D499B"/>
    <w:rsid w:val="002E46B8"/>
    <w:rsid w:val="002F5DA5"/>
    <w:rsid w:val="0030365F"/>
    <w:rsid w:val="0030526A"/>
    <w:rsid w:val="003159B1"/>
    <w:rsid w:val="00330E28"/>
    <w:rsid w:val="00356008"/>
    <w:rsid w:val="00363280"/>
    <w:rsid w:val="00386BF7"/>
    <w:rsid w:val="00395BC7"/>
    <w:rsid w:val="003A1CA7"/>
    <w:rsid w:val="003C0AC7"/>
    <w:rsid w:val="003D2D36"/>
    <w:rsid w:val="00401CAD"/>
    <w:rsid w:val="004039EF"/>
    <w:rsid w:val="00405153"/>
    <w:rsid w:val="00412DD3"/>
    <w:rsid w:val="0041430D"/>
    <w:rsid w:val="004160C5"/>
    <w:rsid w:val="00421876"/>
    <w:rsid w:val="0042721F"/>
    <w:rsid w:val="004367B3"/>
    <w:rsid w:val="00445186"/>
    <w:rsid w:val="004475B5"/>
    <w:rsid w:val="00447B40"/>
    <w:rsid w:val="00451CE0"/>
    <w:rsid w:val="004576BA"/>
    <w:rsid w:val="0046028C"/>
    <w:rsid w:val="00460CB3"/>
    <w:rsid w:val="004701D6"/>
    <w:rsid w:val="0048363D"/>
    <w:rsid w:val="00493583"/>
    <w:rsid w:val="00496C70"/>
    <w:rsid w:val="004A215F"/>
    <w:rsid w:val="004C0F2A"/>
    <w:rsid w:val="004C6925"/>
    <w:rsid w:val="004D04FC"/>
    <w:rsid w:val="004D72CB"/>
    <w:rsid w:val="004D746E"/>
    <w:rsid w:val="004E3029"/>
    <w:rsid w:val="004E532D"/>
    <w:rsid w:val="004F338A"/>
    <w:rsid w:val="00501678"/>
    <w:rsid w:val="00502507"/>
    <w:rsid w:val="005074E4"/>
    <w:rsid w:val="00507511"/>
    <w:rsid w:val="00507779"/>
    <w:rsid w:val="00514611"/>
    <w:rsid w:val="005216F7"/>
    <w:rsid w:val="00522433"/>
    <w:rsid w:val="005234BC"/>
    <w:rsid w:val="00532528"/>
    <w:rsid w:val="00535AA4"/>
    <w:rsid w:val="00542113"/>
    <w:rsid w:val="00545ED8"/>
    <w:rsid w:val="005471F8"/>
    <w:rsid w:val="00553990"/>
    <w:rsid w:val="005547CE"/>
    <w:rsid w:val="00554D6E"/>
    <w:rsid w:val="00567377"/>
    <w:rsid w:val="00567ECA"/>
    <w:rsid w:val="00570055"/>
    <w:rsid w:val="0057306F"/>
    <w:rsid w:val="00573CFE"/>
    <w:rsid w:val="00580655"/>
    <w:rsid w:val="0058106D"/>
    <w:rsid w:val="00581F71"/>
    <w:rsid w:val="00582A74"/>
    <w:rsid w:val="00586F45"/>
    <w:rsid w:val="0058731A"/>
    <w:rsid w:val="0059209F"/>
    <w:rsid w:val="00593F91"/>
    <w:rsid w:val="005A7EA9"/>
    <w:rsid w:val="005B5090"/>
    <w:rsid w:val="005D2405"/>
    <w:rsid w:val="005D3FCA"/>
    <w:rsid w:val="005D4CED"/>
    <w:rsid w:val="005D4CF0"/>
    <w:rsid w:val="005F6B04"/>
    <w:rsid w:val="006041A4"/>
    <w:rsid w:val="00604D3D"/>
    <w:rsid w:val="00605B17"/>
    <w:rsid w:val="00607868"/>
    <w:rsid w:val="00607E44"/>
    <w:rsid w:val="00611E01"/>
    <w:rsid w:val="0061270D"/>
    <w:rsid w:val="0061426C"/>
    <w:rsid w:val="00622133"/>
    <w:rsid w:val="00625904"/>
    <w:rsid w:val="00626A14"/>
    <w:rsid w:val="00631D1B"/>
    <w:rsid w:val="00632C8F"/>
    <w:rsid w:val="00645524"/>
    <w:rsid w:val="00651DD1"/>
    <w:rsid w:val="00654727"/>
    <w:rsid w:val="006630B0"/>
    <w:rsid w:val="00665F1E"/>
    <w:rsid w:val="0067429E"/>
    <w:rsid w:val="00675008"/>
    <w:rsid w:val="00675DF9"/>
    <w:rsid w:val="00681ABC"/>
    <w:rsid w:val="00682B8D"/>
    <w:rsid w:val="00682F27"/>
    <w:rsid w:val="006A0744"/>
    <w:rsid w:val="006A1EC3"/>
    <w:rsid w:val="006A2E9E"/>
    <w:rsid w:val="006A3CCE"/>
    <w:rsid w:val="006A5CCA"/>
    <w:rsid w:val="006C56AB"/>
    <w:rsid w:val="006C5726"/>
    <w:rsid w:val="006D1466"/>
    <w:rsid w:val="006E2A3C"/>
    <w:rsid w:val="006E2C0F"/>
    <w:rsid w:val="006E68AE"/>
    <w:rsid w:val="0070374C"/>
    <w:rsid w:val="00712F52"/>
    <w:rsid w:val="007134B8"/>
    <w:rsid w:val="007255DA"/>
    <w:rsid w:val="00734B66"/>
    <w:rsid w:val="00743C3C"/>
    <w:rsid w:val="00744CD4"/>
    <w:rsid w:val="00751724"/>
    <w:rsid w:val="00751BDC"/>
    <w:rsid w:val="007526EE"/>
    <w:rsid w:val="0075586E"/>
    <w:rsid w:val="00756837"/>
    <w:rsid w:val="007607F4"/>
    <w:rsid w:val="00761932"/>
    <w:rsid w:val="00763450"/>
    <w:rsid w:val="00764FBB"/>
    <w:rsid w:val="007708E9"/>
    <w:rsid w:val="0077402F"/>
    <w:rsid w:val="00776A19"/>
    <w:rsid w:val="007878E1"/>
    <w:rsid w:val="00796148"/>
    <w:rsid w:val="0079614C"/>
    <w:rsid w:val="00796F86"/>
    <w:rsid w:val="007B66D4"/>
    <w:rsid w:val="007B7263"/>
    <w:rsid w:val="007C39EA"/>
    <w:rsid w:val="007D05FE"/>
    <w:rsid w:val="007E23C6"/>
    <w:rsid w:val="007E3E8E"/>
    <w:rsid w:val="007F02B7"/>
    <w:rsid w:val="00804473"/>
    <w:rsid w:val="00810D36"/>
    <w:rsid w:val="00815495"/>
    <w:rsid w:val="00820C5F"/>
    <w:rsid w:val="008320BE"/>
    <w:rsid w:val="008360A0"/>
    <w:rsid w:val="00845570"/>
    <w:rsid w:val="00847735"/>
    <w:rsid w:val="00850B57"/>
    <w:rsid w:val="00856BE1"/>
    <w:rsid w:val="0086237D"/>
    <w:rsid w:val="00876EE9"/>
    <w:rsid w:val="00880939"/>
    <w:rsid w:val="008912B0"/>
    <w:rsid w:val="008A455A"/>
    <w:rsid w:val="008B0599"/>
    <w:rsid w:val="008B3E83"/>
    <w:rsid w:val="008B5B36"/>
    <w:rsid w:val="008C252B"/>
    <w:rsid w:val="008D5378"/>
    <w:rsid w:val="008E0504"/>
    <w:rsid w:val="008E14C6"/>
    <w:rsid w:val="008E512C"/>
    <w:rsid w:val="008F4EE2"/>
    <w:rsid w:val="008F7C8E"/>
    <w:rsid w:val="0090048C"/>
    <w:rsid w:val="00904C67"/>
    <w:rsid w:val="009058CC"/>
    <w:rsid w:val="0092003D"/>
    <w:rsid w:val="00920FBD"/>
    <w:rsid w:val="009259FE"/>
    <w:rsid w:val="00951496"/>
    <w:rsid w:val="00952093"/>
    <w:rsid w:val="00962375"/>
    <w:rsid w:val="00970EA1"/>
    <w:rsid w:val="00971BD1"/>
    <w:rsid w:val="009758CB"/>
    <w:rsid w:val="00975950"/>
    <w:rsid w:val="00985496"/>
    <w:rsid w:val="00986002"/>
    <w:rsid w:val="009A181A"/>
    <w:rsid w:val="009A2399"/>
    <w:rsid w:val="009A481E"/>
    <w:rsid w:val="009A786F"/>
    <w:rsid w:val="009B1973"/>
    <w:rsid w:val="009C05A6"/>
    <w:rsid w:val="009C41A8"/>
    <w:rsid w:val="009D5128"/>
    <w:rsid w:val="009D54CA"/>
    <w:rsid w:val="009F5782"/>
    <w:rsid w:val="00A053EC"/>
    <w:rsid w:val="00A16F33"/>
    <w:rsid w:val="00A223AF"/>
    <w:rsid w:val="00A434DF"/>
    <w:rsid w:val="00A4572A"/>
    <w:rsid w:val="00A51F4E"/>
    <w:rsid w:val="00A521AC"/>
    <w:rsid w:val="00A8491A"/>
    <w:rsid w:val="00A905E4"/>
    <w:rsid w:val="00A9518A"/>
    <w:rsid w:val="00AA2DE5"/>
    <w:rsid w:val="00AB5E25"/>
    <w:rsid w:val="00AD33C0"/>
    <w:rsid w:val="00AE1239"/>
    <w:rsid w:val="00AE1743"/>
    <w:rsid w:val="00AE289B"/>
    <w:rsid w:val="00AE756E"/>
    <w:rsid w:val="00AF01BA"/>
    <w:rsid w:val="00B02A37"/>
    <w:rsid w:val="00B220D3"/>
    <w:rsid w:val="00B277A0"/>
    <w:rsid w:val="00B30148"/>
    <w:rsid w:val="00B37D24"/>
    <w:rsid w:val="00B4743D"/>
    <w:rsid w:val="00B51FF5"/>
    <w:rsid w:val="00B54573"/>
    <w:rsid w:val="00B61CC0"/>
    <w:rsid w:val="00B62AA6"/>
    <w:rsid w:val="00B63A1B"/>
    <w:rsid w:val="00B67DD8"/>
    <w:rsid w:val="00B7086D"/>
    <w:rsid w:val="00B70A6B"/>
    <w:rsid w:val="00B71745"/>
    <w:rsid w:val="00B7340B"/>
    <w:rsid w:val="00B7495E"/>
    <w:rsid w:val="00B86AD1"/>
    <w:rsid w:val="00BB207F"/>
    <w:rsid w:val="00BE3BB2"/>
    <w:rsid w:val="00C0202F"/>
    <w:rsid w:val="00C052A9"/>
    <w:rsid w:val="00C166BD"/>
    <w:rsid w:val="00C254A5"/>
    <w:rsid w:val="00C35F74"/>
    <w:rsid w:val="00C40F25"/>
    <w:rsid w:val="00C515C6"/>
    <w:rsid w:val="00C53FD1"/>
    <w:rsid w:val="00C53FEE"/>
    <w:rsid w:val="00C548B3"/>
    <w:rsid w:val="00C6050D"/>
    <w:rsid w:val="00C65048"/>
    <w:rsid w:val="00C7302D"/>
    <w:rsid w:val="00C80171"/>
    <w:rsid w:val="00C9687C"/>
    <w:rsid w:val="00CA1BBC"/>
    <w:rsid w:val="00CB5DA1"/>
    <w:rsid w:val="00CC4D8A"/>
    <w:rsid w:val="00CD052E"/>
    <w:rsid w:val="00CD50B1"/>
    <w:rsid w:val="00CE4F28"/>
    <w:rsid w:val="00CF117B"/>
    <w:rsid w:val="00CF1AC4"/>
    <w:rsid w:val="00CF743F"/>
    <w:rsid w:val="00D03BDC"/>
    <w:rsid w:val="00D06B3B"/>
    <w:rsid w:val="00D16260"/>
    <w:rsid w:val="00D17EB6"/>
    <w:rsid w:val="00D25218"/>
    <w:rsid w:val="00D467F6"/>
    <w:rsid w:val="00D46A46"/>
    <w:rsid w:val="00D534F5"/>
    <w:rsid w:val="00D608AF"/>
    <w:rsid w:val="00D70D03"/>
    <w:rsid w:val="00D71D28"/>
    <w:rsid w:val="00D77108"/>
    <w:rsid w:val="00D82E23"/>
    <w:rsid w:val="00D92249"/>
    <w:rsid w:val="00DA1C8E"/>
    <w:rsid w:val="00DA33AF"/>
    <w:rsid w:val="00DA3453"/>
    <w:rsid w:val="00DD2B85"/>
    <w:rsid w:val="00DD50AE"/>
    <w:rsid w:val="00DE286F"/>
    <w:rsid w:val="00DE6C7D"/>
    <w:rsid w:val="00DF597B"/>
    <w:rsid w:val="00E005D2"/>
    <w:rsid w:val="00E02178"/>
    <w:rsid w:val="00E06215"/>
    <w:rsid w:val="00E16FEB"/>
    <w:rsid w:val="00E17B3D"/>
    <w:rsid w:val="00E24461"/>
    <w:rsid w:val="00E267E7"/>
    <w:rsid w:val="00E47BAC"/>
    <w:rsid w:val="00E5004E"/>
    <w:rsid w:val="00E52CA0"/>
    <w:rsid w:val="00E5794D"/>
    <w:rsid w:val="00E70AC5"/>
    <w:rsid w:val="00E74801"/>
    <w:rsid w:val="00E7734C"/>
    <w:rsid w:val="00E85577"/>
    <w:rsid w:val="00E8698B"/>
    <w:rsid w:val="00E87143"/>
    <w:rsid w:val="00EB32AF"/>
    <w:rsid w:val="00EB54D5"/>
    <w:rsid w:val="00EC2B28"/>
    <w:rsid w:val="00ED3A28"/>
    <w:rsid w:val="00ED3DF5"/>
    <w:rsid w:val="00ED71FB"/>
    <w:rsid w:val="00EE468F"/>
    <w:rsid w:val="00EE5C57"/>
    <w:rsid w:val="00EE5E9A"/>
    <w:rsid w:val="00EF2CEF"/>
    <w:rsid w:val="00EF3DB2"/>
    <w:rsid w:val="00F01E0D"/>
    <w:rsid w:val="00F06732"/>
    <w:rsid w:val="00F07835"/>
    <w:rsid w:val="00F107F4"/>
    <w:rsid w:val="00F16E4E"/>
    <w:rsid w:val="00F17555"/>
    <w:rsid w:val="00F23812"/>
    <w:rsid w:val="00F315A8"/>
    <w:rsid w:val="00F51D02"/>
    <w:rsid w:val="00F630CD"/>
    <w:rsid w:val="00F74905"/>
    <w:rsid w:val="00F80CF1"/>
    <w:rsid w:val="00F853AA"/>
    <w:rsid w:val="00F92EDD"/>
    <w:rsid w:val="00F9354B"/>
    <w:rsid w:val="00F938B1"/>
    <w:rsid w:val="00F93A6B"/>
    <w:rsid w:val="00FA2521"/>
    <w:rsid w:val="00FA277E"/>
    <w:rsid w:val="00FA7D61"/>
    <w:rsid w:val="00FD1A99"/>
    <w:rsid w:val="00FD4A39"/>
    <w:rsid w:val="00FD5667"/>
    <w:rsid w:val="00FE0535"/>
    <w:rsid w:val="00FE606B"/>
    <w:rsid w:val="00FF224B"/>
    <w:rsid w:val="00FF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Наталья</cp:lastModifiedBy>
  <cp:revision>2</cp:revision>
  <dcterms:created xsi:type="dcterms:W3CDTF">2020-04-23T07:03:00Z</dcterms:created>
  <dcterms:modified xsi:type="dcterms:W3CDTF">2020-04-23T07:03:00Z</dcterms:modified>
</cp:coreProperties>
</file>