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1" w:rsidRDefault="0075007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0071" w:rsidRDefault="00750071">
      <w:pPr>
        <w:pStyle w:val="ConsPlusNormal"/>
        <w:jc w:val="both"/>
        <w:outlineLvl w:val="0"/>
      </w:pPr>
    </w:p>
    <w:p w:rsidR="00750071" w:rsidRDefault="00750071">
      <w:pPr>
        <w:pStyle w:val="ConsPlusTitle"/>
        <w:jc w:val="center"/>
        <w:outlineLvl w:val="0"/>
      </w:pPr>
      <w:r>
        <w:t>ПРАВИТЕЛЬСТВО ПЕРМСКОГО КРАЯ</w:t>
      </w:r>
    </w:p>
    <w:p w:rsidR="00750071" w:rsidRDefault="00750071">
      <w:pPr>
        <w:pStyle w:val="ConsPlusTitle"/>
        <w:jc w:val="center"/>
      </w:pPr>
    </w:p>
    <w:p w:rsidR="00750071" w:rsidRDefault="00750071">
      <w:pPr>
        <w:pStyle w:val="ConsPlusTitle"/>
        <w:jc w:val="center"/>
      </w:pPr>
      <w:r>
        <w:t>РАСПОРЯЖЕНИЕ</w:t>
      </w:r>
    </w:p>
    <w:p w:rsidR="00750071" w:rsidRDefault="00750071">
      <w:pPr>
        <w:pStyle w:val="ConsPlusTitle"/>
        <w:jc w:val="center"/>
      </w:pPr>
      <w:r>
        <w:t>от 17 января 2024 г. N 7-рп</w:t>
      </w:r>
    </w:p>
    <w:p w:rsidR="00750071" w:rsidRDefault="00750071">
      <w:pPr>
        <w:pStyle w:val="ConsPlusTitle"/>
        <w:ind w:firstLine="540"/>
        <w:jc w:val="both"/>
      </w:pPr>
    </w:p>
    <w:p w:rsidR="00750071" w:rsidRDefault="00750071">
      <w:pPr>
        <w:pStyle w:val="ConsPlusTitle"/>
        <w:jc w:val="center"/>
      </w:pPr>
      <w:r>
        <w:t>ОБ УТВЕРЖДЕНИИ МЕТОДИЧЕСКИХ РЕКОМЕНДАЦИЙ ПО ПРИМЕНЕНИЮ ИНЫХ</w:t>
      </w:r>
    </w:p>
    <w:p w:rsidR="00750071" w:rsidRDefault="00750071">
      <w:pPr>
        <w:pStyle w:val="ConsPlusTitle"/>
        <w:jc w:val="center"/>
      </w:pPr>
      <w:r>
        <w:t>МЕТОДОВ ОПРЕДЕЛЕНИЯ НАЧАЛЬНОЙ (МАКСИМАЛЬНОЙ) ЦЕНЫ КОНТРАКТА,</w:t>
      </w:r>
    </w:p>
    <w:p w:rsidR="00750071" w:rsidRDefault="00750071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750071" w:rsidRDefault="00750071">
      <w:pPr>
        <w:pStyle w:val="ConsPlusTitle"/>
        <w:jc w:val="center"/>
      </w:pPr>
      <w:r>
        <w:t>(ПОДРЯДЧИКОМ, ИСПОЛНИТЕЛЕМ), НАЧАЛЬНОЙ ЦЕНЫ ЕДИНИЦЫ ТОВАРА,</w:t>
      </w:r>
    </w:p>
    <w:p w:rsidR="00750071" w:rsidRDefault="00750071">
      <w:pPr>
        <w:pStyle w:val="ConsPlusTitle"/>
        <w:jc w:val="center"/>
      </w:pPr>
      <w:r>
        <w:t>РАБОТЫ, УСЛУГИ ПРИ ОСУЩЕСТВЛЕНИИ ЗАКУПОК В СФЕРЕ</w:t>
      </w:r>
    </w:p>
    <w:p w:rsidR="00750071" w:rsidRDefault="00750071">
      <w:pPr>
        <w:pStyle w:val="ConsPlusTitle"/>
        <w:jc w:val="center"/>
      </w:pPr>
      <w:r>
        <w:t>ГРАДОСТРОИТЕЛЬНОЙ ДЕЯТЕЛЬНОСТИ ДЛЯ ОБЕСПЕЧЕНИЯ НУЖД</w:t>
      </w:r>
    </w:p>
    <w:p w:rsidR="00750071" w:rsidRDefault="00750071">
      <w:pPr>
        <w:pStyle w:val="ConsPlusTitle"/>
        <w:jc w:val="center"/>
      </w:pPr>
      <w:r>
        <w:t>ПЕРМСКОГО КРАЯ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20.1 статьи 22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1. Утвердить прилагаемые Методические </w:t>
      </w:r>
      <w:hyperlink w:anchor="P36">
        <w:r>
          <w:rPr>
            <w:color w:val="0000FF"/>
          </w:rPr>
          <w:t>рекомендации</w:t>
        </w:r>
      </w:hyperlink>
      <w:r>
        <w:t xml:space="preserve"> по применению иных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для обеспечения нужд Пермского края (далее - Методические рекомендации).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 Установить, что Министерство финансов Пермского края дает разъяснения государственным органам Пермского края (в том числе органам государственной власти Пермского края), государственным казенным учреждениям Пермского края, являющимся государственными заказчиками, а также государственным бюджетным учреждениям Пермского края, государственным унитарным предприятиям Пермского края, государственным автономным учреждениям Пермского края, иным юридическим лицам, осуществляющим закупки в соответствии со </w:t>
      </w:r>
      <w:hyperlink r:id="rId6">
        <w:r>
          <w:rPr>
            <w:color w:val="0000FF"/>
          </w:rPr>
          <w:t>статьей 15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по вопросам применения Методических рекомендаций.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3. Рекомендовать применять Методические рекомендации для </w:t>
      </w:r>
      <w:r>
        <w:lastRenderedPageBreak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на выполнение работ по текущему ремонту зданий, строений, сооружений, помещений, благоустройству территорий, разработке научно-проектной документации для выполнения производственных работ по сохранению объектов культурного наследия (памятников истории и культуры) народов Российской Федерации, расположенных на территории Пермского края, проведение технического надзора в период выполнения работ по сохранению объектов культурного наследия: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3.1. органам местного самоуправления муниципальных образований Пермского края, муниципальным казенным учреждениям муниципальных образований Пермского края, являющимся муниципальными заказчиками, а также муниципальным бюджетным учреждениям, муниципальным унитарным предприятиям, муниципальным автономным учреждениям муниципальных образований Пермского края, иным юридическим лицам, осуществляющим закупки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3.2. государственным бюджетным учреждениям, государственным унитарным предприятиям и государственным автономным учреждениям Пермского края, а также муниципальным бюджетным учреждениям, муниципальным унитарным предприятиям и муниципальным автономным учреждениям муниципальных образований Пермского края, осуществляющим закупки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4. Настоящее распоряжение вступает в силу со дня подписания, но не ранее дня вступления в силу постановления Правительства Пермского края, предусматривающего признание утратившим силу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 марта 2018 г. N 156-п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для обеспечения нужд Пермского края".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5. Контроль за исполнением распоряжения возложить на первого заместителя председателя Правительства Пермского края.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</w:pPr>
      <w:r>
        <w:t>Губернатор Пермского края</w:t>
      </w:r>
    </w:p>
    <w:p w:rsidR="00750071" w:rsidRDefault="00750071">
      <w:pPr>
        <w:pStyle w:val="ConsPlusNormal"/>
        <w:jc w:val="right"/>
      </w:pPr>
      <w:r>
        <w:t>Д.Н.МАХОНИН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  <w:outlineLvl w:val="0"/>
      </w:pPr>
      <w:r>
        <w:t>УТВЕРЖДЕНЫ</w:t>
      </w:r>
    </w:p>
    <w:p w:rsidR="00750071" w:rsidRDefault="00750071">
      <w:pPr>
        <w:pStyle w:val="ConsPlusNormal"/>
        <w:jc w:val="right"/>
      </w:pPr>
      <w:r>
        <w:t>распоряжением</w:t>
      </w:r>
    </w:p>
    <w:p w:rsidR="00750071" w:rsidRDefault="00750071">
      <w:pPr>
        <w:pStyle w:val="ConsPlusNormal"/>
        <w:jc w:val="right"/>
      </w:pPr>
      <w:r>
        <w:t>Правительства</w:t>
      </w:r>
    </w:p>
    <w:p w:rsidR="00750071" w:rsidRDefault="00750071">
      <w:pPr>
        <w:pStyle w:val="ConsPlusNormal"/>
        <w:jc w:val="right"/>
      </w:pPr>
      <w:r>
        <w:t>Пермского края</w:t>
      </w:r>
    </w:p>
    <w:p w:rsidR="00750071" w:rsidRDefault="00750071">
      <w:pPr>
        <w:pStyle w:val="ConsPlusNormal"/>
        <w:jc w:val="right"/>
      </w:pPr>
      <w:r>
        <w:t>от 17.01.2024 N 7-рп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</w:pPr>
      <w:bookmarkStart w:id="1" w:name="P36"/>
      <w:bookmarkEnd w:id="1"/>
      <w:r>
        <w:t>МЕТОДИЧЕСКИЕ РЕКОМЕНДАЦИИ</w:t>
      </w:r>
    </w:p>
    <w:p w:rsidR="00750071" w:rsidRDefault="00750071">
      <w:pPr>
        <w:pStyle w:val="ConsPlusTitle"/>
        <w:jc w:val="center"/>
      </w:pPr>
      <w:r>
        <w:t>ПО ПРИМЕНЕНИЮ ИНЫХ МЕТОДОВ ОПРЕДЕЛЕНИЯ НАЧАЛЬНОЙ</w:t>
      </w:r>
    </w:p>
    <w:p w:rsidR="00750071" w:rsidRDefault="00750071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750071" w:rsidRDefault="00750071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750071" w:rsidRDefault="00750071">
      <w:pPr>
        <w:pStyle w:val="ConsPlusTitle"/>
        <w:jc w:val="center"/>
      </w:pPr>
      <w:r>
        <w:t>НАЧАЛЬНОЙ ЦЕНЫ ЕДИНИЦЫ ТОВАРА, РАБОТЫ, УСЛУГИ</w:t>
      </w:r>
    </w:p>
    <w:p w:rsidR="00750071" w:rsidRDefault="00750071">
      <w:pPr>
        <w:pStyle w:val="ConsPlusTitle"/>
        <w:jc w:val="center"/>
      </w:pPr>
      <w:r>
        <w:t>ПРИ ОСУЩЕСТВЛЕНИИ ЗАКУПОК В СФЕРЕ ГРАДОСТРОИТЕЛЬНОЙ</w:t>
      </w:r>
    </w:p>
    <w:p w:rsidR="00750071" w:rsidRDefault="00750071">
      <w:pPr>
        <w:pStyle w:val="ConsPlusTitle"/>
        <w:jc w:val="center"/>
      </w:pPr>
      <w:r>
        <w:t>ДЕЯТЕЛЬНОСТИ ДЛЯ ОБЕСПЕЧЕНИЯ НУЖД ПЕРМСКОГО КРАЯ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  <w:outlineLvl w:val="1"/>
      </w:pPr>
      <w:r>
        <w:t>I. Общие положения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в соответствии с Гражданским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регулируют применение иных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(далее - НМЦК) в соответствии с </w:t>
      </w:r>
      <w:hyperlink r:id="rId14">
        <w:r>
          <w:rPr>
            <w:color w:val="0000FF"/>
          </w:rPr>
          <w:t>частью 12 статьи 22</w:t>
        </w:r>
      </w:hyperlink>
      <w:r>
        <w:t xml:space="preserve"> Закона о контрактной системе.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1.2. Настоящие Методические рекомендации применяются государственными органами Пермского края (в том числе органами государственной власти Пермского края), государственными казенными учреждениями Пермского края, являющимися государственными заказчиками, а также государственными бюджетными учреждениями Пермского края, государственными унитарными предприятиями Пермского края, государственными автономными учреждениями Пермского края, иными юридическими лицами, осуществляющими закупки в соответствии со </w:t>
      </w:r>
      <w:hyperlink r:id="rId15">
        <w:r>
          <w:rPr>
            <w:color w:val="0000FF"/>
          </w:rPr>
          <w:t>статьей 15</w:t>
        </w:r>
      </w:hyperlink>
      <w:r>
        <w:t xml:space="preserve"> Закона о контрактной системе (далее - Заказчики), для определения и обоснования НМЦК при осуществлении закупок в сфере градостроительной </w:t>
      </w:r>
      <w:r>
        <w:lastRenderedPageBreak/>
        <w:t>деятельности на выполнение работ по текущему ремонту зданий, строений, сооружений, помещений, благоустройству территорий, разработке научно-проектной документации для выполнения производственных работ по сохранению объектов культурного наследия (памятников истории и культуры) народов Российской Федерации, расположенных на территории Пермского края (далее - работы по сохранению объектов культурного наследия), проведение технического надзора в период выполнения работ по сохранению объектов культурного наследия.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1.3. Настоящие Методические рекомендации применяются с учетом особенностей рынков конкретных товаров, работ, услуг, закупаемых для обеспечения нужд Пермского края.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1.4. Определение НМЦК производится при подготовке извещения об осуществлении закупки, документации о закупке (в случае если </w:t>
      </w:r>
      <w:hyperlink r:id="rId16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документация о закупке), проекта контракта (в случае осуществления закупки у единственного поставщика (подрядчика, исполнителя)). Результат определения НМЦК отражается в указанных документах.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1.5. Настоящие Методические рекомендации не применяются: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1.5.1. при осуществлении закупок в соответствии с положениями </w:t>
      </w:r>
      <w:hyperlink r:id="rId17">
        <w:r>
          <w:rPr>
            <w:color w:val="0000FF"/>
          </w:rPr>
          <w:t>части 22 статьи 22</w:t>
        </w:r>
      </w:hyperlink>
      <w:r>
        <w:t xml:space="preserve">, </w:t>
      </w:r>
      <w:hyperlink r:id="rId18">
        <w:r>
          <w:rPr>
            <w:color w:val="0000FF"/>
          </w:rPr>
          <w:t>части 59 статьи 112</w:t>
        </w:r>
      </w:hyperlink>
      <w:r>
        <w:t xml:space="preserve"> Закона о контрактной системе;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1.5.2. при принятии заказчиком решения о применении проектно-сметного метода для определения НМЦК на выполнение работ, предусмотренных </w:t>
      </w:r>
      <w:hyperlink r:id="rId19">
        <w:r>
          <w:rPr>
            <w:color w:val="0000FF"/>
          </w:rPr>
          <w:t>частью 9.1 статьи 22</w:t>
        </w:r>
      </w:hyperlink>
      <w:r>
        <w:t xml:space="preserve"> Закона о контрактной системе, с использованием </w:t>
      </w:r>
      <w:hyperlink r:id="rId20">
        <w:r>
          <w:rPr>
            <w:color w:val="0000FF"/>
          </w:rPr>
          <w:t>Порядка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841/пр.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1.6.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  <w:outlineLvl w:val="1"/>
      </w:pPr>
      <w:r>
        <w:t>II. Определение НМЦК иным (сметным) методом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  <w:outlineLvl w:val="2"/>
      </w:pPr>
      <w:r>
        <w:t>2.1. Определение НМЦК на текущий ремонт зданий, строений,</w:t>
      </w:r>
    </w:p>
    <w:p w:rsidR="00750071" w:rsidRDefault="00750071">
      <w:pPr>
        <w:pStyle w:val="ConsPlusTitle"/>
        <w:jc w:val="center"/>
      </w:pPr>
      <w:r>
        <w:t>сооружений, помещений, благоустройство территории иным</w:t>
      </w:r>
    </w:p>
    <w:p w:rsidR="00750071" w:rsidRDefault="00750071">
      <w:pPr>
        <w:pStyle w:val="ConsPlusTitle"/>
        <w:jc w:val="center"/>
      </w:pPr>
      <w:r>
        <w:lastRenderedPageBreak/>
        <w:t>(сметным) методом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>2.1.1. Исходными данными для определения НМЦК на текущий ремонт зданий, строений, сооружений, помещений, благоустройство территорий являются: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2.1.1.1. исходные данные Заказчика для разработки сметной документации (утвержденное техническое задание);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2.1.1.2. дефектные ведомости;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2.1.1.3. сметная документация;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2.1.1.4. акты осмотра зданий, строений, сооружений, помещений;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2.1.1.5. предписания, выданные уполномоченными органами;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2.1.1.6. ценовые предложения поставщиков, организаций - производителей продукции;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2.1.1.7. среднегодовые индексы потребительских цен (инфляция в Пермском крае), определенные сценарными условиями для формирования вариантов развития экономики Пермского края и основными показателями прогноза социально-экономического развития Пермского края, размещаемые на сайте Министерства экономического развития и инвестиций Пермского края (далее - ИПЦ);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2.1.1.8. иная документация, содержащая материалы в текстовой и графической формах и определяющая архитектурные, функционально-технологические, конструктивные и инженерно-технические решения (при определении НМЦК на благоустройство территорий).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2.1.2. НМЦК определяется на основании сметной стоимости, сформированной на дату расчета НМЦК с обязательным применением размещенных в федеральной государственной информационной системе ценообразования в строительстве (далее - ФГИС ЦС):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сметных нормативов, утвержденных Министерством строительства и жилищно-коммунального хозяйства Российской Федерации, сведения о которых включены в федеральный реестр сметных нормативов;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сметных цен строительных ресурсов, определенных Министерством строительства и жилищно-коммунального хозяйства Российской Федерации.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2.1.3. Пересчет сметной стоимости на дату расчета НМЦК из базового уровня цен в текущий уровень цен осуществляется с применением индексов </w:t>
      </w:r>
      <w:r>
        <w:lastRenderedPageBreak/>
        <w:t>изменения сметной стоимости строительства, размещенных в ФГИС ЦС, путем включения в федеральный реестр сметных нормативов, а также на официальном сайте Министерства строительства и жилищно-коммунального хозяйства Российской Федерации (далее - Индексы изменения сметной стоимости).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2.1.4. В случае если на работы утвержденными сметными нормативами стоимость материалов (оборудования) не учтена, стоимость материалов (оборудования) определяется с применением информации о сметных ценах, размещенной в ФГИС ЦС или в федеральном сборнике сметных цен на материалы, изделия, конструкции и оборудование, применяемые в строительстве, а при отсутствии в ФГИС ЦС или номенклатуре федерального сборника данных о сметных ценах в базисном или текущем уровне цен их цены определяются на основании проведенного Заказчиком анализа рынка по аналогичным материалам (оборудованию) как средняя арифметическая стоимость либо как минимальная стоимость в текущем уровне цен.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2.1.5. В случае если цены на материалы (оборудование) отсутствуют в федеральном реестре сметных нормативов на дату расчета НМЦК, стоимость материалов (оборудования) определяется на основании проведенного Заказчиком анализа рынка на основании общедоступной информации о ценах материалов (оборудования) на дату расчета НМЦК по аналогичным материалам (оборудованию) как средняя арифметическая стоимость либо как минимальная стоимость.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2.1.6. Для расчета средней арифметической стоимости либо определения минимальной стоимости материалов (оборудования) необходимо использовать не менее трех ценовых предложений от различных поставщиков, организаций - производителей продукции по рыночной стоимости материалов (оборудования) с учетом документально обоснованных затрат на тару, упаковку и реквизит, оплату таможенных платежей, наценок снабженческо-сбытовых и посреднических организаций, транспортных и заготовительно-складских расходов, НДС.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2.1.7. Перевод средней арифметической стоимости либо минимальной стоимости материалов (оборудования) из текущего уровня цен в базовый уровень цен осуществляется методом деления средней арифметической </w:t>
      </w:r>
      <w:proofErr w:type="gramStart"/>
      <w:r>
        <w:t>стоимости</w:t>
      </w:r>
      <w:proofErr w:type="gramEnd"/>
      <w:r>
        <w:t xml:space="preserve"> либо минимальной стоимости материалов (оборудования) в текущем уровне цен на Индексы изменения сметной стоимости к базовому уровню цен.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2.1.8. </w:t>
      </w:r>
      <w:hyperlink w:anchor="P165">
        <w:r>
          <w:rPr>
            <w:color w:val="0000FF"/>
          </w:rPr>
          <w:t>Обоснование</w:t>
        </w:r>
      </w:hyperlink>
      <w:r>
        <w:t xml:space="preserve"> НМЦК на выполнение работ по текущему ремонту зданий, строений, сооружений, помещений, благоустройству территорий оформляется по форме согласно приложению 1 к настоящим Методическим рекомендациям.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lastRenderedPageBreak/>
        <w:t>2.1.9. НМЦК рассчитывается на весь планируемый период исполнения контракта в ценах соответствующих лет его исполнения.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2.1.10. При определении НМЦК на планируемый период исполнения контракта сметная стоимость, определенная в текущем уровне цен на дату расчета НМЦК, пересчитывается в уровень цен периода исполнения контракта с использованием информации о сроках выполнения работ, с применением ИПЦ путем сложения стоимости работ с учетом индексации по каждому периоду исполнения контракта.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2.1.11. Информация о сроках выполнения работ принимается на основании нормативов продолжительности выполнения работ.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  <w:outlineLvl w:val="2"/>
      </w:pPr>
      <w:r>
        <w:t>2.2. Определение НМЦК на разработку научно-проектной</w:t>
      </w:r>
    </w:p>
    <w:p w:rsidR="00750071" w:rsidRDefault="00750071">
      <w:pPr>
        <w:pStyle w:val="ConsPlusTitle"/>
        <w:jc w:val="center"/>
      </w:pPr>
      <w:r>
        <w:t>документации для выполнения производственных работ</w:t>
      </w:r>
    </w:p>
    <w:p w:rsidR="00750071" w:rsidRDefault="00750071">
      <w:pPr>
        <w:pStyle w:val="ConsPlusTitle"/>
        <w:jc w:val="center"/>
      </w:pPr>
      <w:r>
        <w:t>по сохранению объектов культурного наследия иным (сметным)</w:t>
      </w:r>
    </w:p>
    <w:p w:rsidR="00750071" w:rsidRDefault="00750071">
      <w:pPr>
        <w:pStyle w:val="ConsPlusTitle"/>
        <w:jc w:val="center"/>
      </w:pPr>
      <w:r>
        <w:t>методом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>2.2.1. Исходными данными для определения НМЦК на разработку научно-проектной документации для выполнения производственных работ по сохранению объектов культурного наследия являются: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2.2.1.1. данные для разработки научно-проектной документации (задание на проектирование, результаты обследования объекта и другие данные, определяющие объем и характер работ, необходимых к выполнению);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2.2.1.2. задание на проведение работ по сохранению объекта культурного наследия (разработку научно-проектной документации), выданное уполномоченным органом по охране объектов культурного наследия и согласованное Заказчиком работ;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2.2.1.3. сметная документация;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2.2.1.4. 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(строительство), публикуемая Федеральной службой государственной статистики для соответствующего периода в целом по Российской Федерации, или индексы фактической инфляции (при наличии), установленные уполномоченным органом исполнительной власти субъекта Российской Федерации, в случае осуществления закупок за счет средств бюджета субъекта Российской Федерации (далее - индексы фактической инфляции);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2.2.1.5. индексы-дефляторы Министерства экономического развития Российской Федерации по строке "Инвестиции в основной капитал (капитальные вложения)" или прогнозные индексы инфляции (при наличии), </w:t>
      </w:r>
      <w:r>
        <w:lastRenderedPageBreak/>
        <w:t>установленные уполномоченным органом исполнительной власти субъекта Российской Федерации, в случае осуществления закупок за счет средств бюджета субъекта Российской Федерации (далее - индексы прогнозной инфляции).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2.2.2. НМЦК определяется на основании сметной документации, составленной с обязательным применением сметных нормативов, утвержденных Министерством строительства и жилищно-коммунального хозяйства Российской Федерации, сведения о которых включены в федеральный реестр сметных нормативов, в базовом уровне цен с пересчетом в уровень цен на дату составления сметной документации. В случае невозможности определения НМЦК с применением сметных нормативов, утвержденных Министерством строительства и жилищно-коммунального хозяйства Российской Федерации, сведения о которых включены в федеральный реестр сметных нормативов, НМЦК определяется методами, предусмотренными </w:t>
      </w:r>
      <w:hyperlink r:id="rId21">
        <w:r>
          <w:rPr>
            <w:color w:val="0000FF"/>
          </w:rPr>
          <w:t>частью 1 статьи 22</w:t>
        </w:r>
      </w:hyperlink>
      <w:r>
        <w:t xml:space="preserve"> Закона о контрактной системе.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2.2.3. Пересчет стоимости работ из базового уровня цен в уровень цен на дату составления сметной документации осуществляется с применением Индексов изменения сметной стоимости или индексов изменения стоимости проектных работ, рекомендованных Министерством культуры Российской Федерации.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2.2.4. При определении НМЦК в базовом уровне цен усредненная стоимость человеко-дня принимается в соответствии с рекомендациями Министерства культуры Российской Федерации.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2.2.5. </w:t>
      </w:r>
      <w:hyperlink w:anchor="P249">
        <w:r>
          <w:rPr>
            <w:color w:val="0000FF"/>
          </w:rPr>
          <w:t>Обоснование</w:t>
        </w:r>
      </w:hyperlink>
      <w:r>
        <w:t xml:space="preserve"> НМЦК на разработку научно-проектной документации оформляется по форме согласно приложению 2 к настоящим Методическим рекомендациям.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2.2.6. НМЦК на разработку научно-проектной документации для выполнения производственных работ по сохранению объектов культурного наследия определяется в следующей последовательности: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2.2.6.1. производится пересчет стоимости работ из уровня цен на дату составления сметной документации в текущий уровень цен на дату определения НМЦК с применением индексов фактической инфляции;</w:t>
      </w:r>
    </w:p>
    <w:p w:rsidR="00750071" w:rsidRDefault="00750071">
      <w:pPr>
        <w:pStyle w:val="ConsPlusNormal"/>
        <w:spacing w:before="280"/>
        <w:ind w:firstLine="540"/>
        <w:jc w:val="both"/>
      </w:pPr>
      <w:bookmarkStart w:id="2" w:name="P100"/>
      <w:bookmarkEnd w:id="2"/>
      <w:r>
        <w:t>2.2.6.2. производится пересчет стоимости работ, определенной в текущем уровне цен на дату определения НМЦК, в уровень цен периода исполнения контракта с применением индексов прогнозной инфляции.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Индекс прогнозной инфляции на один месяц определяется по формуле (1):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bookmarkStart w:id="3" w:name="P103"/>
      <w:bookmarkEnd w:id="3"/>
      <w:r>
        <w:rPr>
          <w:noProof/>
          <w:position w:val="-17"/>
        </w:rPr>
        <w:lastRenderedPageBreak/>
        <w:drawing>
          <wp:inline distT="0" distB="0" distL="0" distR="0">
            <wp:extent cx="2240280" cy="3949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>где: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инфл.мес.</w:t>
      </w:r>
      <w:r>
        <w:t xml:space="preserve"> - индекс прогнозной инфляции на один месяц. Полученное значение округляется до 4 знаков после запятой;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инфл.год.</w:t>
      </w:r>
      <w:r>
        <w:t xml:space="preserve"> - индекс-дефлятор Министерства экономического развития Российской Федерации по строке "Инвестиции в основной капитал (капитальные вложения)", установленный в целом на год.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степень, размер которой соответствует количеству месяцев от даты определения НМЦК до даты окончания работ. Индекс прогнозной инфляции для периода выполнения работ (К</w:t>
      </w:r>
      <w:r>
        <w:rPr>
          <w:vertAlign w:val="subscript"/>
        </w:rPr>
        <w:t>инфл.пер.</w:t>
      </w:r>
      <w:r>
        <w:t>), не превышающего один календарный год, рассчитывается по формуле (1.1):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bookmarkStart w:id="4" w:name="P110"/>
      <w:bookmarkEnd w:id="4"/>
      <w:r>
        <w:rPr>
          <w:noProof/>
          <w:position w:val="-33"/>
        </w:rPr>
        <w:drawing>
          <wp:inline distT="0" distB="0" distL="0" distR="0">
            <wp:extent cx="3125470" cy="6083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>где: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инфл.пер.</w:t>
      </w:r>
      <w:r>
        <w:t xml:space="preserve"> - индекс прогнозной инфляции для периода выполнения работ. Полученное значение округляется до 4 знаков после запятой;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инфл.мес.</w:t>
      </w:r>
      <w:r>
        <w:t xml:space="preserve"> - индекс прогнозной инфляции, рассчитываемый по </w:t>
      </w:r>
      <w:hyperlink w:anchor="P103">
        <w:r>
          <w:rPr>
            <w:color w:val="0000FF"/>
          </w:rPr>
          <w:t>формуле (1)</w:t>
        </w:r>
      </w:hyperlink>
      <w:r>
        <w:t>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n - период от даты определения НМЦК до даты окончания работ, мес.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В случае если срок выполнения работ превышает календарный год, то индекс прогнозной инфляции на период исполнения контракта (К</w:t>
      </w:r>
      <w:r>
        <w:rPr>
          <w:vertAlign w:val="subscript"/>
        </w:rPr>
        <w:t>п</w:t>
      </w:r>
      <w:r>
        <w:t>) со сроком продолжительности более одного года рассчитывается по формуле (1.2):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r>
        <w:t>К</w:t>
      </w:r>
      <w:r>
        <w:rPr>
          <w:vertAlign w:val="subscript"/>
        </w:rPr>
        <w:t>п</w:t>
      </w:r>
      <w:r>
        <w:t xml:space="preserve"> = Д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инфл.пер.</w:t>
      </w:r>
      <w:r>
        <w:t xml:space="preserve"> + Д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... + Д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i</w:t>
      </w:r>
      <w:r>
        <w:t xml:space="preserve"> (1.2),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>где: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контракта. Полученное значение округляется до 4 знаков после запятой;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Д</w:t>
      </w:r>
      <w:r>
        <w:rPr>
          <w:vertAlign w:val="subscript"/>
        </w:rPr>
        <w:t>1</w:t>
      </w:r>
      <w:r>
        <w:t>, Д</w:t>
      </w:r>
      <w:r>
        <w:rPr>
          <w:vertAlign w:val="subscript"/>
        </w:rPr>
        <w:t>2</w:t>
      </w:r>
      <w:r>
        <w:t>, Д</w:t>
      </w:r>
      <w:r>
        <w:rPr>
          <w:vertAlign w:val="subscript"/>
        </w:rPr>
        <w:t>i</w:t>
      </w:r>
      <w:r>
        <w:t xml:space="preserve"> - доля стоимости работ, подлежащих выполнению подрядчиком соответственно в 1-й, 2-й, i-й годы выполнения работ, %;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lastRenderedPageBreak/>
        <w:t>i - год завершения выполнения работ;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инфл.пер.</w:t>
      </w:r>
      <w:r>
        <w:t xml:space="preserve"> - индекс прогнозной инфляции, рассчитываемый по </w:t>
      </w:r>
      <w:hyperlink w:anchor="P110">
        <w:r>
          <w:rPr>
            <w:color w:val="0000FF"/>
          </w:rPr>
          <w:t>формуле (1.1)</w:t>
        </w:r>
      </w:hyperlink>
      <w:r>
        <w:t>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индекс прогнозной инфляции, учитывающий инфляцию за первый и второй годы выполнения работ. Указанный индекс рассчитывается как произведение индекса прогнозной инфляции, устанавливаемого нарастающим итогом на декабрь первого года выполнения работ, и индекса прогнозной инфляции на второй год выполнения работ, определенного как среднее арифметическое между индексом прогнозной инфляции на январь второго года выполнения работ и индексом прогнозной инфляции на декабрь второго года выполнения работ;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индекс прогнозной инфляции, учитывающий инфляцию за весь период выполнения работ. Указанный индекс рассчитывается как произведение индекса прогнозной инфляции, устанавливаемого нарастающим итогом на декабрь предшествующего года выполнения работ, и индекса прогнозной инфляции на последний год выполнения работ, определенного как среднее арифметическое между индексом прогнозной инфляции на январь последнего года выполнения работ и индексом прогнозной инфляции на дату окончания выполнения работ в последнем году.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2.2.7. В случае если объектом одной закупки одновременно является несколько видов работ, НМЦК рассчитывается с учетом ее детализации по таким видам работ.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  <w:outlineLvl w:val="1"/>
      </w:pPr>
      <w:r>
        <w:t>III. Определение НМЦК иным (нормативно-индексным) методом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Title"/>
        <w:jc w:val="center"/>
        <w:outlineLvl w:val="2"/>
      </w:pPr>
      <w:r>
        <w:t>3.1. Определение НМЦК на проведение технического надзора</w:t>
      </w:r>
    </w:p>
    <w:p w:rsidR="00750071" w:rsidRDefault="00750071">
      <w:pPr>
        <w:pStyle w:val="ConsPlusTitle"/>
        <w:jc w:val="center"/>
      </w:pPr>
      <w:r>
        <w:t>в период выполнения работ по сохранению объектов культурного</w:t>
      </w:r>
    </w:p>
    <w:p w:rsidR="00750071" w:rsidRDefault="00750071">
      <w:pPr>
        <w:pStyle w:val="ConsPlusTitle"/>
        <w:jc w:val="center"/>
      </w:pPr>
      <w:r>
        <w:t>наследия иным (нормативно-индексным) методом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ind w:firstLine="540"/>
        <w:jc w:val="both"/>
      </w:pPr>
      <w:r>
        <w:t>3.1.1. Исходными данными для определения НМЦК на проведение технического надзора в период выполнения работ по сохранению объектов культурного наследия являются: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3.1.1.1. утвержденная в соответствии с законодательством о градостроительной деятельности проектная документация, утвержденная в соответствии с законодательством Российской Федерации об охране объектов культурного наследия научно-проектная документация на проведение работ по сохранению объектов культурного наследия, в том числе сметная документация;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3.1.1.2. положительное заключение государственной экспертизы проектной документации и (или) результатов инженерных изысканий;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lastRenderedPageBreak/>
        <w:t>3.1.1.3. индексы фактической инфляции;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3.1.1.4. индексы прогнозной инфляции.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3.1.2. НМЦК на проведение технического надзора в период выполнения работ по сохранению объектов культурного наследия определяется в соответствии с размером затрат на проведение технического надзора, предусмотренным сводным сметным расчетом в уровне цен на дату утверждения проектной, научно-проектной документации в составе утвержденной проектной, научно-проектной документации на проведение работ по сохранению объектов культурного наследия.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3.1.3. </w:t>
      </w:r>
      <w:hyperlink w:anchor="P343">
        <w:r>
          <w:rPr>
            <w:color w:val="0000FF"/>
          </w:rPr>
          <w:t>Обоснование</w:t>
        </w:r>
      </w:hyperlink>
      <w:r>
        <w:t xml:space="preserve"> НМЦК на проведение технического надзора в период выполнения работ по сохранению объектов культурного наследия оформляется по форме согласно приложению 3 к настоящим Методическим рекомендациям.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3.1.4. НМЦК на проведение технического надзора в период выполнения работ по сохранению объектов культурного наследия определяется в следующей последовательности: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>3.1.4.1. производится пересчет стоимости затрат из уровня цен на дату утверждения проектной, научно-проектной документации в текущий уровень цен на дату определения НМЦК с применением индексов фактической инфляции за соответствующий период;</w:t>
      </w:r>
    </w:p>
    <w:p w:rsidR="00750071" w:rsidRDefault="00750071">
      <w:pPr>
        <w:pStyle w:val="ConsPlusNormal"/>
        <w:spacing w:before="280"/>
        <w:ind w:firstLine="540"/>
        <w:jc w:val="both"/>
      </w:pPr>
      <w:r>
        <w:t xml:space="preserve">3.1.4.2. производится пересчет стоимости затрат, определенной в текущем уровне цен на дату определения НМЦК, в уровень цен периода исполнения контракта с применением индексов прогнозной инфляции на период выполнения работ по сохранению объектов культурного наследия, рассчитанных в порядке, предусмотренном </w:t>
      </w:r>
      <w:hyperlink w:anchor="P100">
        <w:r>
          <w:rPr>
            <w:color w:val="0000FF"/>
          </w:rPr>
          <w:t>пунктом 2.2.6.2</w:t>
        </w:r>
      </w:hyperlink>
      <w:r>
        <w:t xml:space="preserve"> настоящих Методических рекомендаций, с учетом срока выполнения работ в соответствии с проектной, научно-проектной документацией. Резерв средств на непредвиденные работы и затраты определяется Заказчиком в размере, не превышающем размер, предусмотренный сметной документацией по объекту.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  <w:outlineLvl w:val="1"/>
      </w:pPr>
      <w:r>
        <w:t>Приложение 1</w:t>
      </w:r>
    </w:p>
    <w:p w:rsidR="00750071" w:rsidRDefault="00750071">
      <w:pPr>
        <w:pStyle w:val="ConsPlusNormal"/>
        <w:jc w:val="right"/>
      </w:pPr>
      <w:r>
        <w:t>к Методическим рекомендациям</w:t>
      </w:r>
    </w:p>
    <w:p w:rsidR="00750071" w:rsidRDefault="00750071">
      <w:pPr>
        <w:pStyle w:val="ConsPlusNormal"/>
        <w:jc w:val="right"/>
      </w:pPr>
      <w:r>
        <w:t>по применению иных методов</w:t>
      </w:r>
    </w:p>
    <w:p w:rsidR="00750071" w:rsidRDefault="00750071">
      <w:pPr>
        <w:pStyle w:val="ConsPlusNormal"/>
        <w:jc w:val="right"/>
      </w:pPr>
      <w:r>
        <w:t>определения начальной (максимальной)</w:t>
      </w:r>
    </w:p>
    <w:p w:rsidR="00750071" w:rsidRDefault="00750071">
      <w:pPr>
        <w:pStyle w:val="ConsPlusNormal"/>
        <w:jc w:val="right"/>
      </w:pPr>
      <w:r>
        <w:t>цены контракта, цены контракта,</w:t>
      </w:r>
    </w:p>
    <w:p w:rsidR="00750071" w:rsidRDefault="00750071">
      <w:pPr>
        <w:pStyle w:val="ConsPlusNormal"/>
        <w:jc w:val="right"/>
      </w:pPr>
      <w:r>
        <w:t>заключаемого с единственным</w:t>
      </w:r>
    </w:p>
    <w:p w:rsidR="00750071" w:rsidRDefault="00750071">
      <w:pPr>
        <w:pStyle w:val="ConsPlusNormal"/>
        <w:jc w:val="right"/>
      </w:pPr>
      <w:r>
        <w:lastRenderedPageBreak/>
        <w:t>поставщиком (подрядчиком,</w:t>
      </w:r>
    </w:p>
    <w:p w:rsidR="00750071" w:rsidRDefault="00750071">
      <w:pPr>
        <w:pStyle w:val="ConsPlusNormal"/>
        <w:jc w:val="right"/>
      </w:pPr>
      <w:r>
        <w:t>исполнителем), начальной цены</w:t>
      </w:r>
    </w:p>
    <w:p w:rsidR="00750071" w:rsidRDefault="00750071">
      <w:pPr>
        <w:pStyle w:val="ConsPlusNormal"/>
        <w:jc w:val="right"/>
      </w:pPr>
      <w:r>
        <w:t>единицы товара, работы, услуги</w:t>
      </w:r>
    </w:p>
    <w:p w:rsidR="00750071" w:rsidRDefault="00750071">
      <w:pPr>
        <w:pStyle w:val="ConsPlusNormal"/>
        <w:jc w:val="right"/>
      </w:pPr>
      <w:r>
        <w:t>при осуществлении закупок в сфере</w:t>
      </w:r>
    </w:p>
    <w:p w:rsidR="00750071" w:rsidRDefault="00750071">
      <w:pPr>
        <w:pStyle w:val="ConsPlusNormal"/>
        <w:jc w:val="right"/>
      </w:pPr>
      <w:r>
        <w:t>градостроительной деятельности</w:t>
      </w:r>
    </w:p>
    <w:p w:rsidR="00750071" w:rsidRDefault="00750071">
      <w:pPr>
        <w:pStyle w:val="ConsPlusNormal"/>
        <w:jc w:val="right"/>
      </w:pPr>
      <w:r>
        <w:t>для обеспечения нужд Пермского края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</w:pPr>
      <w:r>
        <w:t>ФОРМА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bookmarkStart w:id="5" w:name="P165"/>
      <w:bookmarkEnd w:id="5"/>
      <w:r>
        <w:t>ОБОСНОВАНИЕ</w:t>
      </w:r>
    </w:p>
    <w:p w:rsidR="00750071" w:rsidRDefault="00750071">
      <w:pPr>
        <w:pStyle w:val="ConsPlusNormal"/>
        <w:jc w:val="center"/>
      </w:pPr>
      <w:r>
        <w:t>начальной (максимальной) цены контракта, цены контракта,</w:t>
      </w:r>
    </w:p>
    <w:p w:rsidR="00750071" w:rsidRDefault="00750071">
      <w:pPr>
        <w:pStyle w:val="ConsPlusNormal"/>
        <w:jc w:val="center"/>
      </w:pPr>
      <w:r>
        <w:t>заключаемого с единственным подрядчиком (далее - НМЦК),</w:t>
      </w:r>
    </w:p>
    <w:p w:rsidR="00750071" w:rsidRDefault="00750071">
      <w:pPr>
        <w:pStyle w:val="ConsPlusNormal"/>
        <w:jc w:val="center"/>
      </w:pPr>
      <w:r>
        <w:t>на выполнение работ по текущему ремонту зданий, строений,</w:t>
      </w:r>
    </w:p>
    <w:p w:rsidR="00750071" w:rsidRDefault="00750071">
      <w:pPr>
        <w:pStyle w:val="ConsPlusNormal"/>
        <w:jc w:val="center"/>
      </w:pPr>
      <w:r>
        <w:t>сооружений, помещений, благоустройству территорий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  <w:r>
        <w:t>по объекту: ______________________________________________________________</w:t>
      </w:r>
    </w:p>
    <w:p w:rsidR="00750071" w:rsidRDefault="00750071">
      <w:pPr>
        <w:pStyle w:val="ConsPlusNormal"/>
        <w:spacing w:before="280"/>
        <w:jc w:val="both"/>
      </w:pPr>
      <w:r>
        <w:t>по адресу: _______________________________________________________________</w:t>
      </w:r>
    </w:p>
    <w:p w:rsidR="00750071" w:rsidRDefault="00750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750071">
        <w:tc>
          <w:tcPr>
            <w:tcW w:w="2891" w:type="dxa"/>
          </w:tcPr>
          <w:p w:rsidR="00750071" w:rsidRDefault="00750071">
            <w:pPr>
              <w:pStyle w:val="ConsPlusNormal"/>
            </w:pPr>
            <w:r>
              <w:t>Основные характеристики объекта закупки:</w:t>
            </w:r>
          </w:p>
        </w:tc>
        <w:tc>
          <w:tcPr>
            <w:tcW w:w="6180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2891" w:type="dxa"/>
          </w:tcPr>
          <w:p w:rsidR="00750071" w:rsidRDefault="00750071">
            <w:pPr>
              <w:pStyle w:val="ConsPlusNormal"/>
            </w:pPr>
            <w:r>
              <w:t>Используемый метод определения НМЦК с обоснованием:</w:t>
            </w:r>
          </w:p>
        </w:tc>
        <w:tc>
          <w:tcPr>
            <w:tcW w:w="6180" w:type="dxa"/>
          </w:tcPr>
          <w:p w:rsidR="00750071" w:rsidRDefault="00750071">
            <w:pPr>
              <w:pStyle w:val="ConsPlusNormal"/>
            </w:pP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r>
        <w:t>РАСЧЕТ НМЦК</w:t>
      </w:r>
    </w:p>
    <w:p w:rsidR="00750071" w:rsidRDefault="00750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855"/>
        <w:gridCol w:w="3175"/>
        <w:gridCol w:w="1552"/>
      </w:tblGrid>
      <w:tr w:rsidR="00750071">
        <w:tc>
          <w:tcPr>
            <w:tcW w:w="46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Номер локального сметного расчета (сметы)</w:t>
            </w:r>
          </w:p>
        </w:tc>
        <w:tc>
          <w:tcPr>
            <w:tcW w:w="3175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Наименование стоимостного показателя</w:t>
            </w:r>
          </w:p>
        </w:tc>
        <w:tc>
          <w:tcPr>
            <w:tcW w:w="155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Значение стоимостного показателя, руб.</w:t>
            </w:r>
          </w:p>
        </w:tc>
      </w:tr>
      <w:tr w:rsidR="00750071">
        <w:tc>
          <w:tcPr>
            <w:tcW w:w="460" w:type="dxa"/>
            <w:vAlign w:val="bottom"/>
          </w:tcPr>
          <w:p w:rsidR="00750071" w:rsidRDefault="00750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bottom"/>
          </w:tcPr>
          <w:p w:rsidR="00750071" w:rsidRDefault="00750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4</w:t>
            </w:r>
          </w:p>
        </w:tc>
      </w:tr>
      <w:tr w:rsidR="00750071">
        <w:tc>
          <w:tcPr>
            <w:tcW w:w="46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750071" w:rsidRDefault="00750071">
            <w:pPr>
              <w:pStyle w:val="ConsPlusNormal"/>
            </w:pPr>
            <w:r>
              <w:t>Локальный сметный расчет (смета) N __________</w:t>
            </w:r>
          </w:p>
          <w:p w:rsidR="00750071" w:rsidRDefault="00750071">
            <w:pPr>
              <w:pStyle w:val="ConsPlusNormal"/>
            </w:pPr>
            <w:r>
              <w:t>______________________________</w:t>
            </w:r>
          </w:p>
          <w:p w:rsidR="00750071" w:rsidRDefault="00750071">
            <w:pPr>
              <w:pStyle w:val="ConsPlusNormal"/>
              <w:jc w:val="center"/>
            </w:pPr>
            <w:r>
              <w:t>(наименование работ и затрат)</w:t>
            </w:r>
          </w:p>
        </w:tc>
        <w:tc>
          <w:tcPr>
            <w:tcW w:w="3175" w:type="dxa"/>
          </w:tcPr>
          <w:p w:rsidR="00750071" w:rsidRDefault="00750071">
            <w:pPr>
              <w:pStyle w:val="ConsPlusNormal"/>
            </w:pPr>
            <w:r>
              <w:t xml:space="preserve">Всего сметная стоимость в текущем уровне цен на дату расчета НМЦК с учетом индексов изменения сметной </w:t>
            </w:r>
            <w:r>
              <w:lastRenderedPageBreak/>
              <w:t>стоимости ______________</w:t>
            </w:r>
          </w:p>
          <w:p w:rsidR="00750071" w:rsidRDefault="00750071">
            <w:pPr>
              <w:pStyle w:val="ConsPlusNormal"/>
              <w:ind w:left="1415"/>
            </w:pPr>
            <w:r>
              <w:t>(значение)</w:t>
            </w:r>
          </w:p>
        </w:tc>
        <w:tc>
          <w:tcPr>
            <w:tcW w:w="1552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46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750071" w:rsidRDefault="00750071">
            <w:pPr>
              <w:pStyle w:val="ConsPlusNormal"/>
            </w:pPr>
            <w:r>
              <w:t>Локальный сметный расчет (смета) N __________</w:t>
            </w:r>
          </w:p>
          <w:p w:rsidR="00750071" w:rsidRDefault="00750071">
            <w:pPr>
              <w:pStyle w:val="ConsPlusNormal"/>
            </w:pPr>
            <w:r>
              <w:t>______________________________</w:t>
            </w:r>
          </w:p>
          <w:p w:rsidR="00750071" w:rsidRDefault="00750071">
            <w:pPr>
              <w:pStyle w:val="ConsPlusNormal"/>
              <w:jc w:val="center"/>
            </w:pPr>
            <w:r>
              <w:t>(наименование работ и затрат)</w:t>
            </w:r>
          </w:p>
        </w:tc>
        <w:tc>
          <w:tcPr>
            <w:tcW w:w="3175" w:type="dxa"/>
          </w:tcPr>
          <w:p w:rsidR="00750071" w:rsidRDefault="00750071">
            <w:pPr>
              <w:pStyle w:val="ConsPlusNormal"/>
            </w:pPr>
            <w:r>
              <w:t>Всего сметная стоимость в текущем уровне цен на дату расчета НМЦК с учетом индексов изменения сметной стоимости ______________</w:t>
            </w:r>
          </w:p>
          <w:p w:rsidR="00750071" w:rsidRDefault="00750071">
            <w:pPr>
              <w:pStyle w:val="ConsPlusNormal"/>
              <w:ind w:left="1415"/>
            </w:pPr>
            <w:r>
              <w:t>(значение)</w:t>
            </w:r>
          </w:p>
        </w:tc>
        <w:tc>
          <w:tcPr>
            <w:tcW w:w="1552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7490" w:type="dxa"/>
            <w:gridSpan w:val="3"/>
          </w:tcPr>
          <w:p w:rsidR="00750071" w:rsidRDefault="00750071">
            <w:pPr>
              <w:pStyle w:val="ConsPlusNormal"/>
            </w:pPr>
            <w:r>
              <w:t>Итого сметная стоимость в текущем уровне цен на дату расчета НМЦК по локальным сметным расчетам (сметам)</w:t>
            </w:r>
          </w:p>
        </w:tc>
        <w:tc>
          <w:tcPr>
            <w:tcW w:w="1552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7490" w:type="dxa"/>
            <w:gridSpan w:val="3"/>
          </w:tcPr>
          <w:p w:rsidR="00750071" w:rsidRDefault="00750071">
            <w:pPr>
              <w:pStyle w:val="ConsPlusNormal"/>
            </w:pPr>
            <w:r>
              <w:t>Налог на добавленную стоимость ___________________________</w:t>
            </w:r>
          </w:p>
          <w:p w:rsidR="00750071" w:rsidRDefault="00750071">
            <w:pPr>
              <w:pStyle w:val="ConsPlusNormal"/>
              <w:ind w:left="3679"/>
            </w:pPr>
            <w:r>
              <w:t>(размер ставки в процентах)</w:t>
            </w:r>
          </w:p>
        </w:tc>
        <w:tc>
          <w:tcPr>
            <w:tcW w:w="1552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7490" w:type="dxa"/>
            <w:gridSpan w:val="3"/>
          </w:tcPr>
          <w:p w:rsidR="00750071" w:rsidRDefault="00750071">
            <w:pPr>
              <w:pStyle w:val="ConsPlusNormal"/>
            </w:pPr>
            <w:r>
              <w:t>Итого сметная стоимость в текущем уровне цен на дату расчета НМЦК с учетом налога на добавленную стоимость</w:t>
            </w:r>
          </w:p>
        </w:tc>
        <w:tc>
          <w:tcPr>
            <w:tcW w:w="1552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7490" w:type="dxa"/>
            <w:gridSpan w:val="3"/>
          </w:tcPr>
          <w:p w:rsidR="00750071" w:rsidRDefault="00750071">
            <w:pPr>
              <w:pStyle w:val="ConsPlusNormal"/>
            </w:pPr>
            <w:r>
              <w:t>НМЦК (итого сметная стоимость в уровне цен периода исполнения контракта с учетом среднегодовых индексов потребительских цен</w:t>
            </w:r>
          </w:p>
          <w:p w:rsidR="00750071" w:rsidRDefault="00750071">
            <w:pPr>
              <w:pStyle w:val="ConsPlusNormal"/>
            </w:pPr>
            <w:r>
              <w:t>_________________________)</w:t>
            </w:r>
          </w:p>
          <w:p w:rsidR="00750071" w:rsidRDefault="00750071">
            <w:pPr>
              <w:pStyle w:val="ConsPlusNormal"/>
              <w:ind w:left="849"/>
            </w:pPr>
            <w:r>
              <w:t>(значение)</w:t>
            </w:r>
          </w:p>
        </w:tc>
        <w:tc>
          <w:tcPr>
            <w:tcW w:w="1552" w:type="dxa"/>
          </w:tcPr>
          <w:p w:rsidR="00750071" w:rsidRDefault="00750071">
            <w:pPr>
              <w:pStyle w:val="ConsPlusNormal"/>
            </w:pP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sectPr w:rsidR="00750071" w:rsidSect="00EC3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061"/>
        <w:gridCol w:w="1247"/>
        <w:gridCol w:w="2665"/>
        <w:gridCol w:w="1304"/>
      </w:tblGrid>
      <w:tr w:rsidR="00750071">
        <w:tc>
          <w:tcPr>
            <w:tcW w:w="1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lastRenderedPageBreak/>
              <w:t>Дата подготовки обоснования НМЦК: "___" ____________ 20__ г.</w:t>
            </w:r>
          </w:p>
        </w:tc>
      </w:tr>
      <w:tr w:rsidR="00750071"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</w:pPr>
            <w:r>
              <w:t>Работник контрактной службы / контрактный управляющий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_________</w:t>
            </w:r>
          </w:p>
          <w:p w:rsidR="00750071" w:rsidRDefault="0075007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/___________________/</w:t>
            </w:r>
          </w:p>
          <w:p w:rsidR="00750071" w:rsidRDefault="0075007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________</w:t>
            </w:r>
          </w:p>
          <w:p w:rsidR="00750071" w:rsidRDefault="00750071">
            <w:pPr>
              <w:pStyle w:val="ConsPlusNormal"/>
              <w:jc w:val="center"/>
            </w:pPr>
            <w:r>
              <w:t>(телефон)</w:t>
            </w:r>
          </w:p>
        </w:tc>
      </w:tr>
      <w:tr w:rsidR="0075007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t>Исполнитель _______________</w:t>
            </w:r>
          </w:p>
          <w:p w:rsidR="00750071" w:rsidRDefault="00750071">
            <w:pPr>
              <w:pStyle w:val="ConsPlusNormal"/>
              <w:ind w:left="1698"/>
              <w:jc w:val="both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/_______________________/</w:t>
            </w:r>
          </w:p>
          <w:p w:rsidR="00750071" w:rsidRDefault="0075007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t>___________________</w:t>
            </w:r>
          </w:p>
          <w:p w:rsidR="00750071" w:rsidRDefault="00750071">
            <w:pPr>
              <w:pStyle w:val="ConsPlusNormal"/>
              <w:ind w:left="566"/>
              <w:jc w:val="both"/>
            </w:pPr>
            <w:r>
              <w:t>(телефон)</w:t>
            </w:r>
          </w:p>
        </w:tc>
      </w:tr>
    </w:tbl>
    <w:p w:rsidR="00750071" w:rsidRDefault="00750071">
      <w:pPr>
        <w:pStyle w:val="ConsPlusNormal"/>
        <w:sectPr w:rsidR="007500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  <w:outlineLvl w:val="1"/>
      </w:pPr>
      <w:r>
        <w:t>Приложение 2</w:t>
      </w:r>
    </w:p>
    <w:p w:rsidR="00750071" w:rsidRDefault="00750071">
      <w:pPr>
        <w:pStyle w:val="ConsPlusNormal"/>
        <w:jc w:val="right"/>
      </w:pPr>
      <w:r>
        <w:t>к Методическим рекомендациям</w:t>
      </w:r>
    </w:p>
    <w:p w:rsidR="00750071" w:rsidRDefault="00750071">
      <w:pPr>
        <w:pStyle w:val="ConsPlusNormal"/>
        <w:jc w:val="right"/>
      </w:pPr>
      <w:r>
        <w:t>по применению иных методов</w:t>
      </w:r>
    </w:p>
    <w:p w:rsidR="00750071" w:rsidRDefault="00750071">
      <w:pPr>
        <w:pStyle w:val="ConsPlusNormal"/>
        <w:jc w:val="right"/>
      </w:pPr>
      <w:r>
        <w:t>определения начальной (максимальной)</w:t>
      </w:r>
    </w:p>
    <w:p w:rsidR="00750071" w:rsidRDefault="00750071">
      <w:pPr>
        <w:pStyle w:val="ConsPlusNormal"/>
        <w:jc w:val="right"/>
      </w:pPr>
      <w:r>
        <w:t>цены контракта, цены контракта,</w:t>
      </w:r>
    </w:p>
    <w:p w:rsidR="00750071" w:rsidRDefault="00750071">
      <w:pPr>
        <w:pStyle w:val="ConsPlusNormal"/>
        <w:jc w:val="right"/>
      </w:pPr>
      <w:r>
        <w:t>заключаемого с единственным</w:t>
      </w:r>
    </w:p>
    <w:p w:rsidR="00750071" w:rsidRDefault="00750071">
      <w:pPr>
        <w:pStyle w:val="ConsPlusNormal"/>
        <w:jc w:val="right"/>
      </w:pPr>
      <w:r>
        <w:t>поставщиком (подрядчиком,</w:t>
      </w:r>
    </w:p>
    <w:p w:rsidR="00750071" w:rsidRDefault="00750071">
      <w:pPr>
        <w:pStyle w:val="ConsPlusNormal"/>
        <w:jc w:val="right"/>
      </w:pPr>
      <w:r>
        <w:t>исполнителем), начальной цены</w:t>
      </w:r>
    </w:p>
    <w:p w:rsidR="00750071" w:rsidRDefault="00750071">
      <w:pPr>
        <w:pStyle w:val="ConsPlusNormal"/>
        <w:jc w:val="right"/>
      </w:pPr>
      <w:r>
        <w:t>единицы товара, работы, услуги</w:t>
      </w:r>
    </w:p>
    <w:p w:rsidR="00750071" w:rsidRDefault="00750071">
      <w:pPr>
        <w:pStyle w:val="ConsPlusNormal"/>
        <w:jc w:val="right"/>
      </w:pPr>
      <w:r>
        <w:t>при осуществлении закупок в сфере</w:t>
      </w:r>
    </w:p>
    <w:p w:rsidR="00750071" w:rsidRDefault="00750071">
      <w:pPr>
        <w:pStyle w:val="ConsPlusNormal"/>
        <w:jc w:val="right"/>
      </w:pPr>
      <w:r>
        <w:t>градостроительной деятельности</w:t>
      </w:r>
    </w:p>
    <w:p w:rsidR="00750071" w:rsidRDefault="00750071">
      <w:pPr>
        <w:pStyle w:val="ConsPlusNormal"/>
        <w:jc w:val="right"/>
      </w:pPr>
      <w:r>
        <w:t>для обеспечения нужд Пермского края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</w:pPr>
      <w:r>
        <w:t>ФОРМА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bookmarkStart w:id="6" w:name="P249"/>
      <w:bookmarkEnd w:id="6"/>
      <w:r>
        <w:t>ОБОСНОВАНИЕ</w:t>
      </w:r>
    </w:p>
    <w:p w:rsidR="00750071" w:rsidRDefault="00750071">
      <w:pPr>
        <w:pStyle w:val="ConsPlusNormal"/>
        <w:jc w:val="center"/>
      </w:pPr>
      <w:r>
        <w:t>начальной (максимальной) цены контракта, цены контракта,</w:t>
      </w:r>
    </w:p>
    <w:p w:rsidR="00750071" w:rsidRDefault="00750071">
      <w:pPr>
        <w:pStyle w:val="ConsPlusNormal"/>
        <w:jc w:val="center"/>
      </w:pPr>
      <w:r>
        <w:t>заключаемого с единственным подрядчиком (далее - НМЦК),</w:t>
      </w:r>
    </w:p>
    <w:p w:rsidR="00750071" w:rsidRDefault="00750071">
      <w:pPr>
        <w:pStyle w:val="ConsPlusNormal"/>
        <w:jc w:val="center"/>
      </w:pPr>
      <w:r>
        <w:t>на разработку научно-проектной документации для выполнения</w:t>
      </w:r>
    </w:p>
    <w:p w:rsidR="00750071" w:rsidRDefault="00750071">
      <w:pPr>
        <w:pStyle w:val="ConsPlusNormal"/>
        <w:jc w:val="center"/>
      </w:pPr>
      <w:r>
        <w:t>производственных работ по сохранению объектов культурного</w:t>
      </w:r>
    </w:p>
    <w:p w:rsidR="00750071" w:rsidRDefault="00750071">
      <w:pPr>
        <w:pStyle w:val="ConsPlusNormal"/>
        <w:jc w:val="center"/>
      </w:pPr>
      <w:r>
        <w:t>наследия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  <w:r>
        <w:t>по объекту: ______________________________________________________________</w:t>
      </w:r>
    </w:p>
    <w:p w:rsidR="00750071" w:rsidRDefault="00750071">
      <w:pPr>
        <w:pStyle w:val="ConsPlusNormal"/>
        <w:spacing w:before="280"/>
        <w:jc w:val="both"/>
      </w:pPr>
      <w:r>
        <w:t>по адресу: _______________________________________________________________</w:t>
      </w:r>
    </w:p>
    <w:p w:rsidR="00750071" w:rsidRDefault="00750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750071">
        <w:tc>
          <w:tcPr>
            <w:tcW w:w="2891" w:type="dxa"/>
          </w:tcPr>
          <w:p w:rsidR="00750071" w:rsidRDefault="00750071">
            <w:pPr>
              <w:pStyle w:val="ConsPlusNormal"/>
            </w:pPr>
            <w:r>
              <w:t>Основные характеристики объекта закупки:</w:t>
            </w:r>
          </w:p>
        </w:tc>
        <w:tc>
          <w:tcPr>
            <w:tcW w:w="6180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2891" w:type="dxa"/>
          </w:tcPr>
          <w:p w:rsidR="00750071" w:rsidRDefault="00750071">
            <w:pPr>
              <w:pStyle w:val="ConsPlusNormal"/>
            </w:pPr>
            <w:r>
              <w:t>Используемый метод определения НМЦК с обоснованием:</w:t>
            </w:r>
          </w:p>
        </w:tc>
        <w:tc>
          <w:tcPr>
            <w:tcW w:w="6180" w:type="dxa"/>
          </w:tcPr>
          <w:p w:rsidR="00750071" w:rsidRDefault="00750071">
            <w:pPr>
              <w:pStyle w:val="ConsPlusNormal"/>
            </w:pP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r>
        <w:t>РАСЧЕТ НМЦК</w:t>
      </w:r>
    </w:p>
    <w:p w:rsidR="00750071" w:rsidRDefault="00750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0"/>
        <w:gridCol w:w="1600"/>
        <w:gridCol w:w="1191"/>
        <w:gridCol w:w="1432"/>
        <w:gridCol w:w="1372"/>
        <w:gridCol w:w="1372"/>
      </w:tblGrid>
      <w:tr w:rsidR="00750071">
        <w:tc>
          <w:tcPr>
            <w:tcW w:w="202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работ и затрат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r>
              <w:lastRenderedPageBreak/>
              <w:t>работ в ценах на дату утверждения сметной документации "месяц / квартал" ____ "год" ____</w:t>
            </w:r>
          </w:p>
        </w:tc>
        <w:tc>
          <w:tcPr>
            <w:tcW w:w="1191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фактической инфляции</w:t>
            </w: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r>
              <w:lastRenderedPageBreak/>
              <w:t>работ в ценах на дату определения НМЦК "месяц / квартал" ____</w:t>
            </w:r>
          </w:p>
          <w:p w:rsidR="00750071" w:rsidRDefault="00750071">
            <w:pPr>
              <w:pStyle w:val="ConsPlusNormal"/>
              <w:jc w:val="center"/>
            </w:pPr>
            <w:r>
              <w:t>"год" ____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прогнозной инфляции на период выполнения работ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НМЦК с </w:t>
            </w:r>
            <w:r>
              <w:lastRenderedPageBreak/>
              <w:t>учетом индекса прогнозной инфляции на период выполнения работ</w:t>
            </w:r>
          </w:p>
        </w:tc>
      </w:tr>
      <w:tr w:rsidR="00750071">
        <w:tc>
          <w:tcPr>
            <w:tcW w:w="202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6</w:t>
            </w:r>
          </w:p>
        </w:tc>
      </w:tr>
      <w:tr w:rsidR="00750071">
        <w:tc>
          <w:tcPr>
            <w:tcW w:w="202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Выполнение инженерных изысканий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202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Разработка научно-проектной документации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202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Резерв на непредвиденные работы и затраты (если это предусмотрено контрактом)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202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Общая стоимость работ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sectPr w:rsidR="0075007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061"/>
        <w:gridCol w:w="1247"/>
        <w:gridCol w:w="2665"/>
        <w:gridCol w:w="1304"/>
      </w:tblGrid>
      <w:tr w:rsidR="00750071">
        <w:tc>
          <w:tcPr>
            <w:tcW w:w="1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</w:pPr>
            <w:r>
              <w:lastRenderedPageBreak/>
              <w:t>Продолжительность работ _____ дня (дней).</w:t>
            </w:r>
          </w:p>
          <w:p w:rsidR="00750071" w:rsidRDefault="00750071">
            <w:pPr>
              <w:pStyle w:val="ConsPlusNormal"/>
            </w:pPr>
            <w:r>
              <w:t>Начало работ ______________ 20___ г.</w:t>
            </w:r>
          </w:p>
          <w:p w:rsidR="00750071" w:rsidRDefault="00750071">
            <w:pPr>
              <w:pStyle w:val="ConsPlusNormal"/>
            </w:pPr>
            <w:r>
              <w:t>Окончание работ ______________ 20___ г.</w:t>
            </w:r>
          </w:p>
          <w:p w:rsidR="00750071" w:rsidRDefault="00750071">
            <w:pPr>
              <w:pStyle w:val="ConsPlusNormal"/>
            </w:pPr>
            <w:r>
              <w:t>Расчет индекса прогнозной инфляции: (____+____) / 2</w:t>
            </w:r>
          </w:p>
          <w:p w:rsidR="00750071" w:rsidRDefault="00750071">
            <w:pPr>
              <w:pStyle w:val="ConsPlusNormal"/>
            </w:pPr>
          </w:p>
          <w:p w:rsidR="00750071" w:rsidRDefault="00750071">
            <w:pPr>
              <w:pStyle w:val="ConsPlusNormal"/>
              <w:jc w:val="both"/>
            </w:pPr>
            <w:r>
              <w:t>Дата подготовки обоснования НМЦК: "___" ____________ 20___ г.</w:t>
            </w:r>
          </w:p>
        </w:tc>
      </w:tr>
      <w:tr w:rsidR="00750071"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</w:pPr>
            <w:r>
              <w:t>Работник контрактной службы / контрактный управляющий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_________</w:t>
            </w:r>
          </w:p>
          <w:p w:rsidR="00750071" w:rsidRDefault="0075007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/___________________/</w:t>
            </w:r>
          </w:p>
          <w:p w:rsidR="00750071" w:rsidRDefault="0075007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________</w:t>
            </w:r>
          </w:p>
          <w:p w:rsidR="00750071" w:rsidRDefault="00750071">
            <w:pPr>
              <w:pStyle w:val="ConsPlusNormal"/>
              <w:jc w:val="center"/>
            </w:pPr>
            <w:r>
              <w:t>(телефон)</w:t>
            </w:r>
          </w:p>
        </w:tc>
      </w:tr>
      <w:tr w:rsidR="0075007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t>Исполнитель _______________</w:t>
            </w:r>
          </w:p>
          <w:p w:rsidR="00750071" w:rsidRDefault="00750071">
            <w:pPr>
              <w:pStyle w:val="ConsPlusNormal"/>
              <w:ind w:left="1698"/>
              <w:jc w:val="both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/_______________________/</w:t>
            </w:r>
          </w:p>
          <w:p w:rsidR="00750071" w:rsidRDefault="0075007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t>___________________</w:t>
            </w:r>
          </w:p>
          <w:p w:rsidR="00750071" w:rsidRDefault="00750071">
            <w:pPr>
              <w:pStyle w:val="ConsPlusNormal"/>
              <w:ind w:left="566"/>
              <w:jc w:val="both"/>
            </w:pPr>
            <w:r>
              <w:t>(телефон)</w:t>
            </w:r>
          </w:p>
        </w:tc>
      </w:tr>
    </w:tbl>
    <w:p w:rsidR="00750071" w:rsidRDefault="00750071">
      <w:pPr>
        <w:pStyle w:val="ConsPlusNormal"/>
        <w:sectPr w:rsidR="007500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  <w:outlineLvl w:val="1"/>
      </w:pPr>
      <w:r>
        <w:t>Приложение 3</w:t>
      </w:r>
    </w:p>
    <w:p w:rsidR="00750071" w:rsidRDefault="00750071">
      <w:pPr>
        <w:pStyle w:val="ConsPlusNormal"/>
        <w:jc w:val="right"/>
      </w:pPr>
      <w:r>
        <w:t>к Методическим рекомендациям</w:t>
      </w:r>
    </w:p>
    <w:p w:rsidR="00750071" w:rsidRDefault="00750071">
      <w:pPr>
        <w:pStyle w:val="ConsPlusNormal"/>
        <w:jc w:val="right"/>
      </w:pPr>
      <w:r>
        <w:t>по применению иных методов</w:t>
      </w:r>
    </w:p>
    <w:p w:rsidR="00750071" w:rsidRDefault="00750071">
      <w:pPr>
        <w:pStyle w:val="ConsPlusNormal"/>
        <w:jc w:val="right"/>
      </w:pPr>
      <w:r>
        <w:t>определения начальной (максимальной)</w:t>
      </w:r>
    </w:p>
    <w:p w:rsidR="00750071" w:rsidRDefault="00750071">
      <w:pPr>
        <w:pStyle w:val="ConsPlusNormal"/>
        <w:jc w:val="right"/>
      </w:pPr>
      <w:r>
        <w:t>цены контракта, цены контракта,</w:t>
      </w:r>
    </w:p>
    <w:p w:rsidR="00750071" w:rsidRDefault="00750071">
      <w:pPr>
        <w:pStyle w:val="ConsPlusNormal"/>
        <w:jc w:val="right"/>
      </w:pPr>
      <w:r>
        <w:t>заключаемого с единственным</w:t>
      </w:r>
    </w:p>
    <w:p w:rsidR="00750071" w:rsidRDefault="00750071">
      <w:pPr>
        <w:pStyle w:val="ConsPlusNormal"/>
        <w:jc w:val="right"/>
      </w:pPr>
      <w:r>
        <w:t>поставщиком (подрядчиком,</w:t>
      </w:r>
    </w:p>
    <w:p w:rsidR="00750071" w:rsidRDefault="00750071">
      <w:pPr>
        <w:pStyle w:val="ConsPlusNormal"/>
        <w:jc w:val="right"/>
      </w:pPr>
      <w:r>
        <w:t>исполнителем), начальной цены</w:t>
      </w:r>
    </w:p>
    <w:p w:rsidR="00750071" w:rsidRDefault="00750071">
      <w:pPr>
        <w:pStyle w:val="ConsPlusNormal"/>
        <w:jc w:val="right"/>
      </w:pPr>
      <w:r>
        <w:t>единицы товара, работы, услуги</w:t>
      </w:r>
    </w:p>
    <w:p w:rsidR="00750071" w:rsidRDefault="00750071">
      <w:pPr>
        <w:pStyle w:val="ConsPlusNormal"/>
        <w:jc w:val="right"/>
      </w:pPr>
      <w:r>
        <w:t>при осуществлении закупок в сфере</w:t>
      </w:r>
    </w:p>
    <w:p w:rsidR="00750071" w:rsidRDefault="00750071">
      <w:pPr>
        <w:pStyle w:val="ConsPlusNormal"/>
        <w:jc w:val="right"/>
      </w:pPr>
      <w:r>
        <w:t>градостроительной деятельности</w:t>
      </w:r>
    </w:p>
    <w:p w:rsidR="00750071" w:rsidRDefault="00750071">
      <w:pPr>
        <w:pStyle w:val="ConsPlusNormal"/>
        <w:jc w:val="right"/>
      </w:pPr>
      <w:r>
        <w:t>для обеспечения нужд Пермского края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right"/>
      </w:pPr>
      <w:r>
        <w:t>ФОРМА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bookmarkStart w:id="7" w:name="P343"/>
      <w:bookmarkEnd w:id="7"/>
      <w:r>
        <w:t>ОБОСНОВАНИЕ</w:t>
      </w:r>
    </w:p>
    <w:p w:rsidR="00750071" w:rsidRDefault="00750071">
      <w:pPr>
        <w:pStyle w:val="ConsPlusNormal"/>
        <w:jc w:val="center"/>
      </w:pPr>
      <w:r>
        <w:t>начальной (максимальной) цены контракта, цены контракта,</w:t>
      </w:r>
    </w:p>
    <w:p w:rsidR="00750071" w:rsidRDefault="00750071">
      <w:pPr>
        <w:pStyle w:val="ConsPlusNormal"/>
        <w:jc w:val="center"/>
      </w:pPr>
      <w:r>
        <w:t>заключаемого с единственным подрядчиком (далее - НМЦК),</w:t>
      </w:r>
    </w:p>
    <w:p w:rsidR="00750071" w:rsidRDefault="00750071">
      <w:pPr>
        <w:pStyle w:val="ConsPlusNormal"/>
        <w:jc w:val="center"/>
      </w:pPr>
      <w:r>
        <w:t>на проведение технического надзора в период выполнения работ</w:t>
      </w:r>
    </w:p>
    <w:p w:rsidR="00750071" w:rsidRDefault="00750071">
      <w:pPr>
        <w:pStyle w:val="ConsPlusNormal"/>
        <w:jc w:val="center"/>
      </w:pPr>
      <w:r>
        <w:t>по сохранению объектов культурного наследия</w:t>
      </w: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  <w:r>
        <w:t>по объекту: ______________________________________________________________</w:t>
      </w:r>
    </w:p>
    <w:p w:rsidR="00750071" w:rsidRDefault="00750071">
      <w:pPr>
        <w:pStyle w:val="ConsPlusNormal"/>
        <w:spacing w:before="280"/>
        <w:jc w:val="both"/>
      </w:pPr>
      <w:r>
        <w:t>по адресу: _______________________________________________________________</w:t>
      </w:r>
    </w:p>
    <w:p w:rsidR="00750071" w:rsidRDefault="00750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750071">
        <w:tc>
          <w:tcPr>
            <w:tcW w:w="2891" w:type="dxa"/>
          </w:tcPr>
          <w:p w:rsidR="00750071" w:rsidRDefault="00750071">
            <w:pPr>
              <w:pStyle w:val="ConsPlusNormal"/>
            </w:pPr>
            <w:r>
              <w:t>Основные характеристики объекта закупки:</w:t>
            </w:r>
          </w:p>
        </w:tc>
        <w:tc>
          <w:tcPr>
            <w:tcW w:w="6180" w:type="dxa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2891" w:type="dxa"/>
          </w:tcPr>
          <w:p w:rsidR="00750071" w:rsidRDefault="00750071">
            <w:pPr>
              <w:pStyle w:val="ConsPlusNormal"/>
            </w:pPr>
            <w:r>
              <w:t>Используемый метод определения НМЦК с обоснованием:</w:t>
            </w:r>
          </w:p>
        </w:tc>
        <w:tc>
          <w:tcPr>
            <w:tcW w:w="6180" w:type="dxa"/>
          </w:tcPr>
          <w:p w:rsidR="00750071" w:rsidRDefault="00750071">
            <w:pPr>
              <w:pStyle w:val="ConsPlusNormal"/>
            </w:pP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center"/>
      </w:pPr>
      <w:r>
        <w:t>РАСЧЕТ НМЦК</w:t>
      </w:r>
    </w:p>
    <w:p w:rsidR="00750071" w:rsidRDefault="00750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456"/>
        <w:gridCol w:w="1432"/>
        <w:gridCol w:w="1372"/>
        <w:gridCol w:w="1372"/>
      </w:tblGrid>
      <w:tr w:rsidR="00750071">
        <w:tc>
          <w:tcPr>
            <w:tcW w:w="184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 xml:space="preserve">Наименование работ и </w:t>
            </w:r>
            <w:r>
              <w:lastRenderedPageBreak/>
              <w:t>затрат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Стоимость работ в </w:t>
            </w:r>
            <w:r>
              <w:lastRenderedPageBreak/>
              <w:t>ценах на дату утверждения сметной документации "месяц / квартал" ____ "год" ____</w:t>
            </w:r>
          </w:p>
        </w:tc>
        <w:tc>
          <w:tcPr>
            <w:tcW w:w="1456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>Индекс фактическ</w:t>
            </w:r>
            <w:r>
              <w:lastRenderedPageBreak/>
              <w:t>ой инфляции</w:t>
            </w: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Стоимость работ в </w:t>
            </w:r>
            <w:r>
              <w:lastRenderedPageBreak/>
              <w:t>ценах на дату определения НМЦК "месяц / квартал" ____ "год" ____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>Индекс прогнозно</w:t>
            </w:r>
            <w:r>
              <w:lastRenderedPageBreak/>
              <w:t>й инфляции на период выполнения работ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 xml:space="preserve">НМЦК с учетом </w:t>
            </w:r>
            <w:r>
              <w:lastRenderedPageBreak/>
              <w:t>индекса прогнозной инфляции на период выполнения работ</w:t>
            </w:r>
          </w:p>
        </w:tc>
      </w:tr>
      <w:tr w:rsidR="00750071">
        <w:tc>
          <w:tcPr>
            <w:tcW w:w="184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6</w:t>
            </w:r>
          </w:p>
        </w:tc>
      </w:tr>
      <w:tr w:rsidR="00750071">
        <w:tc>
          <w:tcPr>
            <w:tcW w:w="184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Стоимость проведения технического надзора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184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Резерв средств на непредвиденные работы, затраты (если предусмотрено контрактом)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  <w:tr w:rsidR="00750071">
        <w:tc>
          <w:tcPr>
            <w:tcW w:w="1840" w:type="dxa"/>
            <w:vAlign w:val="center"/>
          </w:tcPr>
          <w:p w:rsidR="00750071" w:rsidRDefault="00750071">
            <w:pPr>
              <w:pStyle w:val="ConsPlusNormal"/>
              <w:jc w:val="center"/>
            </w:pPr>
            <w:r>
              <w:t>Общая стоимость работ</w:t>
            </w:r>
          </w:p>
        </w:tc>
        <w:tc>
          <w:tcPr>
            <w:tcW w:w="1600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750071" w:rsidRDefault="00750071">
            <w:pPr>
              <w:pStyle w:val="ConsPlusNormal"/>
            </w:pP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sectPr w:rsidR="0075007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061"/>
        <w:gridCol w:w="1247"/>
        <w:gridCol w:w="2665"/>
        <w:gridCol w:w="1304"/>
      </w:tblGrid>
      <w:tr w:rsidR="00750071">
        <w:tc>
          <w:tcPr>
            <w:tcW w:w="1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</w:pPr>
            <w:r>
              <w:lastRenderedPageBreak/>
              <w:t>Продолжительность работ _____ дня (дней).</w:t>
            </w:r>
          </w:p>
          <w:p w:rsidR="00750071" w:rsidRDefault="00750071">
            <w:pPr>
              <w:pStyle w:val="ConsPlusNormal"/>
            </w:pPr>
            <w:r>
              <w:t>Начало работ ______________ 20___ г.</w:t>
            </w:r>
          </w:p>
          <w:p w:rsidR="00750071" w:rsidRDefault="00750071">
            <w:pPr>
              <w:pStyle w:val="ConsPlusNormal"/>
            </w:pPr>
            <w:r>
              <w:t>Окончание работ ______________ 20___ г.</w:t>
            </w:r>
          </w:p>
          <w:p w:rsidR="00750071" w:rsidRDefault="00750071">
            <w:pPr>
              <w:pStyle w:val="ConsPlusNormal"/>
            </w:pPr>
            <w:r>
              <w:t>Расчет индекса прогнозной инфляции: (____+____) / 2</w:t>
            </w:r>
          </w:p>
          <w:p w:rsidR="00750071" w:rsidRDefault="00750071">
            <w:pPr>
              <w:pStyle w:val="ConsPlusNormal"/>
            </w:pPr>
          </w:p>
          <w:p w:rsidR="00750071" w:rsidRDefault="00750071">
            <w:pPr>
              <w:pStyle w:val="ConsPlusNormal"/>
              <w:jc w:val="both"/>
            </w:pPr>
            <w:r>
              <w:t>Дата подготовки обоснования НМЦК: "___" ____________ 20___ г.</w:t>
            </w:r>
          </w:p>
        </w:tc>
      </w:tr>
      <w:tr w:rsidR="00750071"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</w:pPr>
            <w:r>
              <w:t>Работник контрактной службы / контрактный управляющий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_________</w:t>
            </w:r>
          </w:p>
          <w:p w:rsidR="00750071" w:rsidRDefault="0075007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/___________________/</w:t>
            </w:r>
          </w:p>
          <w:p w:rsidR="00750071" w:rsidRDefault="0075007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________</w:t>
            </w:r>
          </w:p>
          <w:p w:rsidR="00750071" w:rsidRDefault="00750071">
            <w:pPr>
              <w:pStyle w:val="ConsPlusNormal"/>
              <w:jc w:val="center"/>
            </w:pPr>
            <w:r>
              <w:t>(телефон)</w:t>
            </w:r>
          </w:p>
        </w:tc>
      </w:tr>
      <w:tr w:rsidR="0075007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t>Исполнитель _______________</w:t>
            </w:r>
          </w:p>
          <w:p w:rsidR="00750071" w:rsidRDefault="00750071">
            <w:pPr>
              <w:pStyle w:val="ConsPlusNormal"/>
              <w:ind w:left="1698"/>
              <w:jc w:val="both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center"/>
            </w:pPr>
            <w:r>
              <w:t>/_______________________/</w:t>
            </w:r>
          </w:p>
          <w:p w:rsidR="00750071" w:rsidRDefault="0075007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071" w:rsidRDefault="00750071">
            <w:pPr>
              <w:pStyle w:val="ConsPlusNormal"/>
              <w:jc w:val="both"/>
            </w:pPr>
            <w:r>
              <w:t>___________________</w:t>
            </w:r>
          </w:p>
          <w:p w:rsidR="00750071" w:rsidRDefault="00750071">
            <w:pPr>
              <w:pStyle w:val="ConsPlusNormal"/>
              <w:ind w:left="566"/>
              <w:jc w:val="both"/>
            </w:pPr>
            <w:r>
              <w:t>(телефон)</w:t>
            </w:r>
          </w:p>
        </w:tc>
      </w:tr>
    </w:tbl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jc w:val="both"/>
      </w:pPr>
    </w:p>
    <w:p w:rsidR="00750071" w:rsidRDefault="007500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B070B" w:rsidRDefault="003B070B"/>
    <w:sectPr w:rsidR="003B070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1"/>
    <w:rsid w:val="003B070B"/>
    <w:rsid w:val="007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AB31-84A6-4B63-8E3A-4F9C73C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07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5007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500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967" TargetMode="External"/><Relationship Id="rId13" Type="http://schemas.openxmlformats.org/officeDocument/2006/relationships/hyperlink" Target="https://login.consultant.ru/link/?req=doc&amp;base=LAW&amp;n=436707" TargetMode="External"/><Relationship Id="rId18" Type="http://schemas.openxmlformats.org/officeDocument/2006/relationships/hyperlink" Target="https://login.consultant.ru/link/?req=doc&amp;base=LAW&amp;n=436707&amp;dst=14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707&amp;dst=100219" TargetMode="External"/><Relationship Id="rId7" Type="http://schemas.openxmlformats.org/officeDocument/2006/relationships/hyperlink" Target="https://login.consultant.ru/link/?req=doc&amp;base=LAW&amp;n=436707" TargetMode="External"/><Relationship Id="rId12" Type="http://schemas.openxmlformats.org/officeDocument/2006/relationships/hyperlink" Target="https://login.consultant.ru/link/?req=doc&amp;base=LAW&amp;n=454388" TargetMode="External"/><Relationship Id="rId17" Type="http://schemas.openxmlformats.org/officeDocument/2006/relationships/hyperlink" Target="https://login.consultant.ru/link/?req=doc&amp;base=LAW&amp;n=436707&amp;dst=117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707" TargetMode="External"/><Relationship Id="rId20" Type="http://schemas.openxmlformats.org/officeDocument/2006/relationships/hyperlink" Target="https://login.consultant.ru/link/?req=doc&amp;base=LAW&amp;n=428282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707&amp;dst=100122" TargetMode="External"/><Relationship Id="rId11" Type="http://schemas.openxmlformats.org/officeDocument/2006/relationships/hyperlink" Target="https://login.consultant.ru/link/?req=doc&amp;base=LAW&amp;n=4658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707&amp;dst=1174" TargetMode="External"/><Relationship Id="rId15" Type="http://schemas.openxmlformats.org/officeDocument/2006/relationships/hyperlink" Target="https://login.consultant.ru/link/?req=doc&amp;base=LAW&amp;n=436707&amp;dst=100122" TargetMode="External"/><Relationship Id="rId23" Type="http://schemas.openxmlformats.org/officeDocument/2006/relationships/image" Target="media/image2.wmf"/><Relationship Id="rId10" Type="http://schemas.openxmlformats.org/officeDocument/2006/relationships/hyperlink" Target="https://login.consultant.ru/link/?req=doc&amp;base=LAW&amp;n=452991" TargetMode="External"/><Relationship Id="rId19" Type="http://schemas.openxmlformats.org/officeDocument/2006/relationships/hyperlink" Target="https://login.consultant.ru/link/?req=doc&amp;base=LAW&amp;n=436707&amp;dst=1018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79840" TargetMode="External"/><Relationship Id="rId14" Type="http://schemas.openxmlformats.org/officeDocument/2006/relationships/hyperlink" Target="https://login.consultant.ru/link/?req=doc&amp;base=LAW&amp;n=436707&amp;dst=100237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2024-02-13T10:34:00Z</dcterms:created>
  <dcterms:modified xsi:type="dcterms:W3CDTF">2024-02-13T10:34:00Z</dcterms:modified>
</cp:coreProperties>
</file>