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0D7A2" w14:textId="77777777" w:rsidR="00C82E50" w:rsidRDefault="00A131CA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26.02.2024 г.</w:t>
      </w:r>
    </w:p>
    <w:p w14:paraId="323D2EBB" w14:textId="77777777" w:rsidR="00C82E50" w:rsidRDefault="00C82E50">
      <w:pPr>
        <w:ind w:left="709"/>
        <w:jc w:val="center"/>
        <w:rPr>
          <w:b/>
          <w:color w:val="4472C4" w:themeColor="accent1"/>
          <w:sz w:val="28"/>
        </w:rPr>
      </w:pPr>
    </w:p>
    <w:p w14:paraId="70367D58" w14:textId="77777777" w:rsidR="00C82E50" w:rsidRDefault="00A131CA">
      <w:pPr>
        <w:pStyle w:val="aff3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14:paraId="757388C2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утверждении лота по 44-ФЗ добавлены контроли на корректность заполнения полей «</w:t>
      </w:r>
      <w:r>
        <w:rPr>
          <w:sz w:val="24"/>
          <w:szCs w:val="24"/>
        </w:rPr>
        <w:t>Закупка в соответствии с пп. «а» п.18 Положения, утвержденного постановлением Правительства Российской Федерации от 30.09.2019 №1279» и «Закупка в отношении объекта кап. строительства / недвижимого имущества осуществляется без софинансирования из федерального бюджета в виде субсидий бюджету субъекта РФ»:</w:t>
      </w:r>
      <w:r>
        <w:rPr>
          <w:bCs/>
          <w:sz w:val="24"/>
          <w:szCs w:val="24"/>
        </w:rPr>
        <w:t xml:space="preserve"> </w:t>
      </w:r>
    </w:p>
    <w:p w14:paraId="6C527AFA" w14:textId="77777777" w:rsidR="00C82E50" w:rsidRDefault="00A131CA">
      <w:pPr>
        <w:pStyle w:val="aff3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Если в блоке «Финансирование» карточки лота выбраны источники с КВР 406, 407, 412 или 414, то в поле «Закупка в соответствии с пп. «а» п.18 Положения, утвержденного постановлением Правительства Российской Федерации от 30.09.2019 №1279» должно быть установлено значение «Да»;</w:t>
      </w:r>
    </w:p>
    <w:p w14:paraId="3344B671" w14:textId="75B53865" w:rsidR="00C82E50" w:rsidRDefault="00A131CA">
      <w:pPr>
        <w:pStyle w:val="aff3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Если в поле «Закупка в соответствии с пп. «а» п.18 Положения, утвержденного постановлением Правительства Российской Федерации от 30.09.2019 №1279» установлено значение «Да», то в блоке «Финансирование» должен быть указан код ОКС. Если код ОКС отсутствует, то должно быть установлено значение «Да» в поле «Закупка в отношении объекта кап. строительства / недвижимого имущества осуществляется без софинансирования из федерального бюджета в виде субсидий бюджету субъекта РФ». При этом если в поле «Закупка в отношении объекта кап. строительства / недвижимого имущества осуществляется без софинансирования из федерального бюджета в виде субсидий бюджету субъекта РФ» установлено значение «Да», то указание кода ОКС недопустимо.</w:t>
      </w:r>
    </w:p>
    <w:p w14:paraId="6E17DCFF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5.2.1 инструкции по подсистеме Планирование 44-ФЗ от 26.02.2024 г.</w:t>
      </w:r>
    </w:p>
    <w:p w14:paraId="24861B93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карточке лота со способом определения поставщика «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Закупка товара у единственного поставщика на сумму, предусмотренную частью 12 статьи 93 Закона № 44-ФЗ</w:t>
      </w:r>
      <w:r>
        <w:rPr>
          <w:sz w:val="24"/>
          <w:szCs w:val="24"/>
        </w:rPr>
        <w:t>» открыта возможность заполнения поля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«Закупка в соответствии с пп. «а» п.18 </w:t>
      </w:r>
      <w:r>
        <w:rPr>
          <w:sz w:val="24"/>
          <w:szCs w:val="24"/>
        </w:rPr>
        <w:lastRenderedPageBreak/>
        <w:t>Положения, утвержденного постановлением Правительства Российской Федерации от 30.09.2019 №1279».</w:t>
      </w:r>
    </w:p>
    <w:p w14:paraId="47DC9079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5.2.1 инструкции по подсистеме Планирование 44-ФЗ от 26.02.2024 г.</w:t>
      </w:r>
    </w:p>
    <w:p w14:paraId="739F4307" w14:textId="77777777" w:rsidR="00C82E50" w:rsidRDefault="00C82E50">
      <w:pPr>
        <w:pStyle w:val="aff3"/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</w:p>
    <w:p w14:paraId="3FDB51EA" w14:textId="77777777" w:rsidR="00C82E50" w:rsidRDefault="00A131CA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контрактов 44-ФЗ»</w:t>
      </w:r>
    </w:p>
    <w:p w14:paraId="5BE246E9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карточке контракта в блоке «Стороны» изменена логика заполнения информации о реквизитах заказчика.</w:t>
      </w:r>
    </w:p>
    <w:p w14:paraId="12C74EBC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п.6.2.5.1 инструкции по подсистеме Реестр контрактов 44-ФЗ от 26.02.2024 г.</w:t>
      </w:r>
    </w:p>
    <w:p w14:paraId="03243FF8" w14:textId="77777777" w:rsidR="00C82E50" w:rsidRPr="005917BB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карточке </w:t>
      </w:r>
      <w:r w:rsidRPr="005917BB">
        <w:rPr>
          <w:bCs/>
          <w:sz w:val="24"/>
          <w:szCs w:val="24"/>
        </w:rPr>
        <w:t>контракта в блоке «Стороны» изменена логика заполнения информации о реквизитах поставщика и получателях платежей по контракту:</w:t>
      </w:r>
    </w:p>
    <w:p w14:paraId="20B6AD04" w14:textId="4C6910C5" w:rsidR="00C82E50" w:rsidRPr="005917BB" w:rsidRDefault="00A131CA">
      <w:pPr>
        <w:pStyle w:val="aff3"/>
        <w:numPr>
          <w:ilvl w:val="0"/>
          <w:numId w:val="4"/>
        </w:numPr>
        <w:tabs>
          <w:tab w:val="clear" w:pos="1260"/>
          <w:tab w:val="left" w:pos="420"/>
        </w:tabs>
        <w:spacing w:after="120" w:line="360" w:lineRule="auto"/>
        <w:contextualSpacing w:val="0"/>
        <w:jc w:val="both"/>
        <w:rPr>
          <w:bCs/>
          <w:sz w:val="24"/>
          <w:szCs w:val="24"/>
        </w:rPr>
      </w:pPr>
      <w:r w:rsidRPr="005917BB">
        <w:rPr>
          <w:bCs/>
          <w:sz w:val="24"/>
          <w:szCs w:val="24"/>
        </w:rPr>
        <w:t>скрыты поля «БИК поставщика», «Номер расчетного счета поставщика», «Корреспондентский счет поставщика», «Оплата производится полностью в УФК», «Оплата п</w:t>
      </w:r>
      <w:r w:rsidR="005917BB" w:rsidRPr="005917BB">
        <w:rPr>
          <w:bCs/>
          <w:sz w:val="24"/>
          <w:szCs w:val="24"/>
        </w:rPr>
        <w:t>р</w:t>
      </w:r>
      <w:r w:rsidRPr="005917BB">
        <w:rPr>
          <w:bCs/>
          <w:sz w:val="24"/>
          <w:szCs w:val="24"/>
        </w:rPr>
        <w:t>оизводится нескольким получателям» из блока «Стороны»;</w:t>
      </w:r>
    </w:p>
    <w:p w14:paraId="1B183478" w14:textId="7844A2A9" w:rsidR="00C82E50" w:rsidRPr="005917BB" w:rsidRDefault="00A131CA">
      <w:pPr>
        <w:pStyle w:val="aff3"/>
        <w:numPr>
          <w:ilvl w:val="0"/>
          <w:numId w:val="4"/>
        </w:numPr>
        <w:tabs>
          <w:tab w:val="clear" w:pos="1260"/>
          <w:tab w:val="left" w:pos="420"/>
        </w:tabs>
        <w:spacing w:after="120" w:line="360" w:lineRule="auto"/>
        <w:contextualSpacing w:val="0"/>
        <w:jc w:val="both"/>
        <w:rPr>
          <w:bCs/>
          <w:sz w:val="24"/>
          <w:szCs w:val="24"/>
        </w:rPr>
      </w:pPr>
      <w:r w:rsidRPr="005917BB">
        <w:rPr>
          <w:bCs/>
          <w:sz w:val="24"/>
          <w:szCs w:val="24"/>
        </w:rPr>
        <w:t>блок «Дополнительные получатели платежей по контракту» заменен на новый блок «Реквизиты и получатели платежей по контракту»</w:t>
      </w:r>
      <w:r w:rsidR="005917BB">
        <w:rPr>
          <w:bCs/>
          <w:sz w:val="24"/>
          <w:szCs w:val="24"/>
        </w:rPr>
        <w:t>;</w:t>
      </w:r>
    </w:p>
    <w:p w14:paraId="0AA1AB0D" w14:textId="77777777" w:rsidR="00C82E50" w:rsidRPr="005917BB" w:rsidRDefault="00A131CA">
      <w:pPr>
        <w:pStyle w:val="aff3"/>
        <w:numPr>
          <w:ilvl w:val="0"/>
          <w:numId w:val="4"/>
        </w:numPr>
        <w:tabs>
          <w:tab w:val="clear" w:pos="1260"/>
          <w:tab w:val="left" w:pos="420"/>
        </w:tabs>
        <w:spacing w:after="120" w:line="360" w:lineRule="auto"/>
        <w:contextualSpacing w:val="0"/>
        <w:jc w:val="both"/>
        <w:rPr>
          <w:bCs/>
          <w:sz w:val="24"/>
          <w:szCs w:val="24"/>
        </w:rPr>
      </w:pPr>
      <w:r w:rsidRPr="005917BB">
        <w:rPr>
          <w:bCs/>
          <w:sz w:val="24"/>
          <w:szCs w:val="24"/>
        </w:rPr>
        <w:t>ранее указанные в скрытых полях сведения о поставщике, УФК и дополнительных получателях платежей перенесены в сведения блока «Реквизиты и получатели платежей по контракту».</w:t>
      </w:r>
    </w:p>
    <w:p w14:paraId="772BC1D3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п.6.2.6 инструкции по подсистеме Реестр контрактов 44-ФЗ от 26.02.2024 г.</w:t>
      </w:r>
    </w:p>
    <w:p w14:paraId="64B7AD04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карточке контракта в блоке «Реквизиты и получатели платежей по контракту» реализована возможность указания контрагентов и реквизитов счета для уплаты неустоек (пеней, штрафов) и контрагентов и реквизитов счета для уплаты налогов. Указанная в блоке информация выгружается в составе сведений о контракте в ЕИС.</w:t>
      </w:r>
    </w:p>
    <w:p w14:paraId="75756BE9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п.6.2.6 инструкции по подсистеме Реестр контрактов 44-ФЗ от 26.02.2024 г.</w:t>
      </w:r>
    </w:p>
    <w:p w14:paraId="34B9B458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В карточке контракта изменена логика расчета суммы аванса по контракту: в блок «Содержание контракта» добавлено поле «Размер аванса, руб.», которое рассчитывается автоматически, как сумма авансовых платежей, указанных в этапах контракта. Поле «В т.ч. авансовых платежей, %» переименовано в «Размер аванса, %» и в поле отображается процент аванса, указанный в извещении о закупке (карточке лота).</w:t>
      </w:r>
    </w:p>
    <w:p w14:paraId="5348609F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Контроль на соответствие суммы аванса по контракту проценту, указанному в карточке лота, отключен. Добавлены новые контроли: </w:t>
      </w:r>
    </w:p>
    <w:p w14:paraId="1AAF86A3" w14:textId="77777777" w:rsidR="00C82E50" w:rsidRDefault="00A131CA">
      <w:pPr>
        <w:pStyle w:val="aff3"/>
        <w:numPr>
          <w:ilvl w:val="0"/>
          <w:numId w:val="5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Если в карточке контракта в поле «Предусмотрен аванс» установлено значение «Да», то в этапе (ах) контракта должен быть указан хотя бы один авансовый платеж. Контроль является блокирующим;</w:t>
      </w:r>
    </w:p>
    <w:p w14:paraId="5ACCCAA5" w14:textId="77777777" w:rsidR="00C82E50" w:rsidRDefault="00A131CA">
      <w:pPr>
        <w:pStyle w:val="aff3"/>
        <w:numPr>
          <w:ilvl w:val="0"/>
          <w:numId w:val="5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Если в карточке контракта в поле «Предусмотрен аванс» установлено значение «Да» и предусмотрено несколько этапов, то авансовые платежи должны быть указаны для каждого этапа контракта. Контроль является предупреждающим и срабатывает до первичной регистрации контракта в ЕИС.</w:t>
      </w:r>
    </w:p>
    <w:p w14:paraId="7D86F4F4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п.6.2.1 инструкции по подсистеме Реестр контрактов 44-ФЗ от 26.02.2024 г.</w:t>
      </w:r>
    </w:p>
    <w:p w14:paraId="3D702CC0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При создании контракта на основе данных проекта контракта, заключенного в структурированном виде, реализовано автоматическое заполнение данных карточки контракта данными проекта контракта. </w:t>
      </w:r>
    </w:p>
    <w:p w14:paraId="1371A230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том числе для контрактов, сформированных на основании проектов контрактов, заключенных в структурированном виде, добавлены новые поля и блоки: </w:t>
      </w:r>
    </w:p>
    <w:p w14:paraId="0967B626" w14:textId="77777777" w:rsidR="00C82E50" w:rsidRDefault="00A131CA">
      <w:pPr>
        <w:pStyle w:val="aff3"/>
        <w:numPr>
          <w:ilvl w:val="0"/>
          <w:numId w:val="6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Блок «Сроки исполнения контракта»;</w:t>
      </w:r>
    </w:p>
    <w:p w14:paraId="6AC397CF" w14:textId="77777777" w:rsidR="00C82E50" w:rsidRDefault="00A131CA">
      <w:pPr>
        <w:pStyle w:val="aff3"/>
        <w:numPr>
          <w:ilvl w:val="0"/>
          <w:numId w:val="6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В блок «Гарантия качества» добавлены поля для указания реквизитов для перечисления обеспечения гарантийных обязательств;</w:t>
      </w:r>
    </w:p>
    <w:p w14:paraId="6CA3CF64" w14:textId="77777777" w:rsidR="00C82E50" w:rsidRDefault="00A131CA">
      <w:pPr>
        <w:pStyle w:val="aff3"/>
        <w:numPr>
          <w:ilvl w:val="0"/>
          <w:numId w:val="6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>В спецификацию контракта добавлен блок «Характеристики» и поля «Допускается поставка эквивалента» и «Товарный знак»;</w:t>
      </w:r>
    </w:p>
    <w:p w14:paraId="63581E72" w14:textId="77777777" w:rsidR="00C82E50" w:rsidRDefault="00A131CA">
      <w:pPr>
        <w:pStyle w:val="aff3"/>
        <w:numPr>
          <w:ilvl w:val="0"/>
          <w:numId w:val="6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В карточку этапа контракта добавлена информация о сроках исполнения этапа, согласно проекту контракта. </w:t>
      </w:r>
    </w:p>
    <w:p w14:paraId="4694E3A4" w14:textId="77777777" w:rsidR="00C82E50" w:rsidRDefault="00A131CA">
      <w:pPr>
        <w:spacing w:after="120" w:line="360" w:lineRule="auto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Обращаем внимание, что данные заполняются автоматически данными проекта контракта и не доступны для редактирования до момента первичной регистрации контракта в ЕИС.</w:t>
      </w:r>
    </w:p>
    <w:p w14:paraId="58EDD774" w14:textId="77777777" w:rsidR="00C82E50" w:rsidRDefault="00A131CA">
      <w:pPr>
        <w:spacing w:after="120" w:line="360" w:lineRule="auto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п.6.2.3, 6.2.11, 6.2.10, 6.2.10.3, 6.14.2 инструкции по подсистеме Реестр контрактов 44-ФЗ от 26.02.2024 г.</w:t>
      </w:r>
    </w:p>
    <w:p w14:paraId="376F64EB" w14:textId="77777777" w:rsidR="00C82E50" w:rsidRDefault="00A131CA">
      <w:pPr>
        <w:pStyle w:val="aff3"/>
        <w:numPr>
          <w:ilvl w:val="0"/>
          <w:numId w:val="2"/>
        </w:numPr>
        <w:spacing w:line="360" w:lineRule="auto"/>
        <w:jc w:val="both"/>
      </w:pPr>
      <w:r>
        <w:rPr>
          <w:bCs/>
          <w:sz w:val="24"/>
          <w:szCs w:val="24"/>
        </w:rPr>
        <w:t>В карточке проекта контракта, заключенного в структурированном виде, реализована возможность автоматического формирования проекта контракта и технического задания на основании утвержденных шаблонов Библиотеки типовой документации.</w:t>
      </w:r>
    </w:p>
    <w:p w14:paraId="477F54CD" w14:textId="77777777" w:rsidR="00C82E50" w:rsidRDefault="00A131CA">
      <w:pPr>
        <w:spacing w:after="120" w:line="360" w:lineRule="auto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п.5.3.12.1 инструкции по подсистеме Реестр контрактов 44-ФЗ от 26.02.2024 г.</w:t>
      </w:r>
    </w:p>
    <w:p w14:paraId="7AE5169C" w14:textId="77777777" w:rsidR="00C82E50" w:rsidRPr="005917BB" w:rsidRDefault="00A131CA">
      <w:pPr>
        <w:numPr>
          <w:ilvl w:val="0"/>
          <w:numId w:val="2"/>
        </w:numPr>
        <w:spacing w:after="120" w:line="360" w:lineRule="auto"/>
        <w:jc w:val="both"/>
        <w:rPr>
          <w:iCs/>
          <w:sz w:val="24"/>
          <w:szCs w:val="24"/>
        </w:rPr>
      </w:pPr>
      <w:r w:rsidRPr="005917BB">
        <w:rPr>
          <w:iCs/>
          <w:sz w:val="24"/>
          <w:szCs w:val="24"/>
        </w:rPr>
        <w:t>В карточке проекта контракта, заключенного в структурированном виде, реализована возможность формирования печатной формы с информацией о характеристиках товаров, работ, услуг, выбранных в спецификациях проекта контракта.</w:t>
      </w:r>
    </w:p>
    <w:p w14:paraId="41A14C38" w14:textId="77777777" w:rsidR="00C82E50" w:rsidRPr="005917BB" w:rsidRDefault="00A131CA">
      <w:pPr>
        <w:spacing w:after="120" w:line="360" w:lineRule="auto"/>
        <w:ind w:left="709"/>
        <w:jc w:val="both"/>
        <w:rPr>
          <w:i/>
          <w:sz w:val="24"/>
          <w:szCs w:val="24"/>
        </w:rPr>
      </w:pPr>
      <w:r w:rsidRPr="005917BB">
        <w:rPr>
          <w:i/>
          <w:sz w:val="24"/>
          <w:szCs w:val="24"/>
        </w:rPr>
        <w:t>Более подробно изменения описаны в п.5.3.12.2 инструкции по подсистеме Реестр контрактов 44-ФЗ от 26.02.2024 г.</w:t>
      </w:r>
    </w:p>
    <w:p w14:paraId="63F5C966" w14:textId="77777777" w:rsidR="00C82E50" w:rsidRDefault="00C82E50">
      <w:pPr>
        <w:pStyle w:val="aff3"/>
        <w:spacing w:after="120" w:line="360" w:lineRule="auto"/>
        <w:contextualSpacing w:val="0"/>
        <w:jc w:val="both"/>
        <w:rPr>
          <w:bCs/>
          <w:sz w:val="24"/>
          <w:szCs w:val="24"/>
        </w:rPr>
      </w:pPr>
    </w:p>
    <w:p w14:paraId="673C2BB7" w14:textId="77777777" w:rsidR="00C82E50" w:rsidRDefault="00A131CA">
      <w:pPr>
        <w:pStyle w:val="aff3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договоров 223-ФЗ»</w:t>
      </w:r>
    </w:p>
    <w:p w14:paraId="0A65E745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договоров 223-ФЗ реализована возможность изменения заказчика по договору в случае реорганизации</w:t>
      </w:r>
    </w:p>
    <w:p w14:paraId="0266091A" w14:textId="77777777" w:rsidR="00C82E50" w:rsidRDefault="00A131CA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5.15 инструкции по подсистеме Реестр договоров от 26.02.2024 г. </w:t>
      </w:r>
    </w:p>
    <w:p w14:paraId="1F77E56B" w14:textId="77777777" w:rsidR="00C82E50" w:rsidRDefault="00C82E50">
      <w:pPr>
        <w:pStyle w:val="aff3"/>
        <w:spacing w:after="120" w:line="360" w:lineRule="auto"/>
        <w:ind w:left="714"/>
        <w:contextualSpacing w:val="0"/>
        <w:jc w:val="center"/>
        <w:rPr>
          <w:b/>
          <w:sz w:val="24"/>
          <w:szCs w:val="24"/>
        </w:rPr>
      </w:pPr>
    </w:p>
    <w:p w14:paraId="55A8EB7A" w14:textId="77777777" w:rsidR="00C82E50" w:rsidRDefault="00A131CA">
      <w:pPr>
        <w:pStyle w:val="aff3"/>
        <w:spacing w:after="120" w:line="360" w:lineRule="auto"/>
        <w:ind w:left="71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Библиотека типовой документации</w:t>
      </w:r>
    </w:p>
    <w:p w14:paraId="4C5E7B3D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редактор разметки для шаблонов ТЗ и блоков контракта 44-ФЗ внесены изменения в логику работы параметров условной области при формировании документа в карточке проекта контракта – значение параметра определяется на основании данных карточки проекта контракта:</w:t>
      </w:r>
    </w:p>
    <w:p w14:paraId="5FAABDC8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Предусмотрен аванс;</w:t>
      </w:r>
    </w:p>
    <w:p w14:paraId="343F8DB4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Предусмотрено обеспечение контракта;</w:t>
      </w:r>
    </w:p>
    <w:p w14:paraId="052C0963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Предусмотрено обеспечение гарантийных обязательств.</w:t>
      </w:r>
    </w:p>
    <w:p w14:paraId="0570CA06" w14:textId="77777777" w:rsidR="00C82E50" w:rsidRDefault="00C82E50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5302FE5A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редактор разметки для блоков контракта 44-ФЗ добавлены новые параметры условной области для формирования документа в проекте контракта:</w:t>
      </w:r>
    </w:p>
    <w:p w14:paraId="34E4A90C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Контракт на право заключения;</w:t>
      </w:r>
    </w:p>
    <w:p w14:paraId="43360FD8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Тип срока оплаты аванса.</w:t>
      </w:r>
    </w:p>
    <w:p w14:paraId="0C0AAD2F" w14:textId="77777777" w:rsidR="00C82E50" w:rsidRDefault="00C82E50">
      <w:pPr>
        <w:pStyle w:val="aff3"/>
        <w:ind w:left="1440"/>
        <w:rPr>
          <w:sz w:val="24"/>
          <w:szCs w:val="24"/>
        </w:rPr>
      </w:pPr>
    </w:p>
    <w:p w14:paraId="10A2A424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редактор разметки для шаблонов ТЗ и блоков контракта 44-ФЗ доработано формирование тегов автоподстановки:</w:t>
      </w:r>
    </w:p>
    <w:p w14:paraId="4A7FB82B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Размер обеспечения контракта, руб.;</w:t>
      </w:r>
    </w:p>
    <w:p w14:paraId="20C92137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Размер обеспечения гарантийных обязательств, руб.;</w:t>
      </w:r>
    </w:p>
    <w:p w14:paraId="5F0BFB6B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Срок гарантии;</w:t>
      </w:r>
    </w:p>
    <w:p w14:paraId="69B919CD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Этапы поставки;</w:t>
      </w:r>
    </w:p>
    <w:p w14:paraId="7D1FB6D2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Срок окончания поставки;</w:t>
      </w:r>
    </w:p>
    <w:p w14:paraId="44B57EF7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Срок окончания исполнения контракта;</w:t>
      </w:r>
    </w:p>
    <w:p w14:paraId="01D49A22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Остаточный срок годности;</w:t>
      </w:r>
    </w:p>
    <w:p w14:paraId="5429BA01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КТРУ;</w:t>
      </w:r>
    </w:p>
    <w:p w14:paraId="5FD1A649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КТРУ (таблица);</w:t>
      </w:r>
    </w:p>
    <w:p w14:paraId="08E51AE9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Адреса поставки;</w:t>
      </w:r>
    </w:p>
    <w:p w14:paraId="58460EB2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Адреса поставки без характеристик;</w:t>
      </w:r>
    </w:p>
    <w:p w14:paraId="12AEA965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 определение поставщика;</w:t>
      </w:r>
    </w:p>
    <w:p w14:paraId="51A53C4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Шапка преамбулы;</w:t>
      </w:r>
    </w:p>
    <w:p w14:paraId="4B06D05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Характеристики (новый);</w:t>
      </w:r>
    </w:p>
    <w:p w14:paraId="5F73F4FE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Реквизиты сторон;</w:t>
      </w:r>
    </w:p>
    <w:p w14:paraId="7E8AAE7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Календарный план (новый).</w:t>
      </w:r>
    </w:p>
    <w:p w14:paraId="29548857" w14:textId="77777777" w:rsidR="00C82E50" w:rsidRDefault="00C82E50">
      <w:pPr>
        <w:pStyle w:val="aff3"/>
        <w:ind w:left="1440"/>
        <w:rPr>
          <w:sz w:val="24"/>
          <w:szCs w:val="24"/>
        </w:rPr>
      </w:pPr>
    </w:p>
    <w:p w14:paraId="2AFF3B90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редактор разметки для шаблонов ТЗ и блоков контракта 44-ФЗ добавлены новые теги автоподстановки:</w:t>
      </w:r>
    </w:p>
    <w:p w14:paraId="1C9CC181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Ответственное должностное лицо заказчика;</w:t>
      </w:r>
    </w:p>
    <w:p w14:paraId="44B84290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Цена контракта;</w:t>
      </w:r>
    </w:p>
    <w:p w14:paraId="6BDE59D6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Размер аванса, руб.;</w:t>
      </w:r>
    </w:p>
    <w:p w14:paraId="4C296A8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Карточка поставщика: полное наименование;</w:t>
      </w:r>
    </w:p>
    <w:p w14:paraId="6BE91D73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Карточка поставщика: краткое наименование;</w:t>
      </w:r>
    </w:p>
    <w:p w14:paraId="691BC581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Номер извещения;</w:t>
      </w:r>
    </w:p>
    <w:p w14:paraId="6974C219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Дата извещения;</w:t>
      </w:r>
    </w:p>
    <w:p w14:paraId="3F4729ED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Номер протокола;</w:t>
      </w:r>
    </w:p>
    <w:p w14:paraId="282031B4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Дата протокола;</w:t>
      </w:r>
    </w:p>
    <w:p w14:paraId="761FA09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Наименование итогового протокола;</w:t>
      </w:r>
    </w:p>
    <w:p w14:paraId="36612876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Спецификация контракта на продукты питания;</w:t>
      </w:r>
    </w:p>
    <w:p w14:paraId="4859FBB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Спецификация контракта (новый).</w:t>
      </w:r>
    </w:p>
    <w:p w14:paraId="3F1AE5A3" w14:textId="77777777" w:rsidR="00C82E50" w:rsidRDefault="00C82E50">
      <w:pPr>
        <w:pStyle w:val="aff3"/>
        <w:ind w:left="1440"/>
        <w:rPr>
          <w:sz w:val="24"/>
          <w:szCs w:val="24"/>
        </w:rPr>
      </w:pPr>
    </w:p>
    <w:p w14:paraId="05E87A9B" w14:textId="77777777" w:rsidR="00C82E50" w:rsidRDefault="00C82E50">
      <w:pPr>
        <w:pStyle w:val="aff3"/>
        <w:spacing w:after="120" w:line="360" w:lineRule="auto"/>
        <w:contextualSpacing w:val="0"/>
        <w:jc w:val="center"/>
        <w:rPr>
          <w:b/>
          <w:bCs/>
          <w:sz w:val="24"/>
          <w:szCs w:val="24"/>
        </w:rPr>
      </w:pPr>
    </w:p>
    <w:p w14:paraId="42B43E5C" w14:textId="77777777" w:rsidR="00C82E50" w:rsidRDefault="00A131CA">
      <w:pPr>
        <w:pStyle w:val="aff3"/>
        <w:spacing w:after="120" w:line="360" w:lineRule="auto"/>
        <w:contextualSpacing w:val="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Подсистема Информационного взаимодействия </w:t>
      </w:r>
    </w:p>
    <w:p w14:paraId="17C93627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передаче объекта «Закупка» во внешние системы в пакет добавлены сведения: </w:t>
      </w:r>
    </w:p>
    <w:p w14:paraId="1D2F2AC5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Плановые и фактические сроки подачи и рассмотрения заявок на участие закупке;</w:t>
      </w:r>
    </w:p>
    <w:p w14:paraId="35888EAD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Количество заявок на участие в закупке;</w:t>
      </w:r>
    </w:p>
    <w:p w14:paraId="52D644C9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Сумма предложения победителя;</w:t>
      </w:r>
    </w:p>
    <w:p w14:paraId="0119A6DE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Код цели источника финансирования;</w:t>
      </w:r>
    </w:p>
    <w:p w14:paraId="50234FF0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Код субсидии источника финансирования;</w:t>
      </w:r>
    </w:p>
    <w:p w14:paraId="75BE9A5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Отраслевой код источника финансирования.</w:t>
      </w:r>
    </w:p>
    <w:p w14:paraId="2C347724" w14:textId="77777777" w:rsidR="00C82E50" w:rsidRDefault="00C82E50">
      <w:pPr>
        <w:pStyle w:val="aff3"/>
        <w:ind w:left="1440"/>
        <w:rPr>
          <w:sz w:val="24"/>
          <w:szCs w:val="24"/>
        </w:rPr>
      </w:pPr>
    </w:p>
    <w:p w14:paraId="73CB7113" w14:textId="77777777" w:rsidR="00C82E50" w:rsidRDefault="00A131CA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передаче объекта «Контракт» во внешние системы в пакет добавлены сведения: </w:t>
      </w:r>
    </w:p>
    <w:p w14:paraId="5EBDCD4D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Код цели источника финансирования;</w:t>
      </w:r>
    </w:p>
    <w:p w14:paraId="3279F64A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Код субсидии источника финансирования;</w:t>
      </w:r>
    </w:p>
    <w:p w14:paraId="0BEA3D44" w14:textId="77777777" w:rsidR="00C82E50" w:rsidRDefault="00A131CA">
      <w:pPr>
        <w:pStyle w:val="aff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Отраслевой код источника финансирования.</w:t>
      </w:r>
    </w:p>
    <w:sectPr w:rsidR="00C82E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2D93" w14:textId="77777777" w:rsidR="0013027C" w:rsidRDefault="0013027C">
      <w:pPr>
        <w:spacing w:line="240" w:lineRule="auto"/>
      </w:pPr>
      <w:r>
        <w:separator/>
      </w:r>
    </w:p>
  </w:endnote>
  <w:endnote w:type="continuationSeparator" w:id="0">
    <w:p w14:paraId="68BE24D3" w14:textId="77777777" w:rsidR="0013027C" w:rsidRDefault="00130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8EA993E" w14:textId="77777777" w:rsidR="00C82E50" w:rsidRDefault="00A131CA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38">
          <w:rPr>
            <w:noProof/>
          </w:rPr>
          <w:t>1</w:t>
        </w:r>
        <w:r>
          <w:fldChar w:fldCharType="end"/>
        </w:r>
      </w:p>
    </w:sdtContent>
  </w:sdt>
  <w:p w14:paraId="7B05A594" w14:textId="77777777" w:rsidR="00C82E50" w:rsidRDefault="00C82E5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CAADF" w14:textId="77777777" w:rsidR="0013027C" w:rsidRDefault="0013027C">
      <w:pPr>
        <w:spacing w:after="0"/>
      </w:pPr>
      <w:r>
        <w:separator/>
      </w:r>
    </w:p>
  </w:footnote>
  <w:footnote w:type="continuationSeparator" w:id="0">
    <w:p w14:paraId="328BEB5E" w14:textId="77777777" w:rsidR="0013027C" w:rsidRDefault="001302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FCA413"/>
    <w:multiLevelType w:val="singleLevel"/>
    <w:tmpl w:val="ABFCA413"/>
    <w:lvl w:ilvl="0">
      <w:start w:val="1"/>
      <w:numFmt w:val="bullet"/>
      <w:lvlText w:val="─"/>
      <w:lvlJc w:val="left"/>
      <w:pPr>
        <w:tabs>
          <w:tab w:val="left" w:pos="1260"/>
        </w:tabs>
        <w:ind w:left="1260" w:hanging="420"/>
      </w:pPr>
      <w:rPr>
        <w:rFonts w:ascii="Arial" w:hAnsi="Arial" w:cs="Arial" w:hint="default"/>
      </w:rPr>
    </w:lvl>
  </w:abstractNum>
  <w:abstractNum w:abstractNumId="1" w15:restartNumberingAfterBreak="0">
    <w:nsid w:val="03D62ECE"/>
    <w:multiLevelType w:val="multilevel"/>
    <w:tmpl w:val="03D62ECE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" w15:restartNumberingAfterBreak="0">
    <w:nsid w:val="1B06789C"/>
    <w:multiLevelType w:val="multilevel"/>
    <w:tmpl w:val="1B0678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C22A74"/>
    <w:multiLevelType w:val="multilevel"/>
    <w:tmpl w:val="7EC22A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6"/>
    <w:rsid w:val="000121AE"/>
    <w:rsid w:val="0013027C"/>
    <w:rsid w:val="001A0A29"/>
    <w:rsid w:val="002F0AE4"/>
    <w:rsid w:val="003C064E"/>
    <w:rsid w:val="00496135"/>
    <w:rsid w:val="005917BB"/>
    <w:rsid w:val="006D2310"/>
    <w:rsid w:val="007A6B90"/>
    <w:rsid w:val="007D4690"/>
    <w:rsid w:val="007F3F71"/>
    <w:rsid w:val="00891B10"/>
    <w:rsid w:val="009001DF"/>
    <w:rsid w:val="00A131CA"/>
    <w:rsid w:val="00B53313"/>
    <w:rsid w:val="00B56A91"/>
    <w:rsid w:val="00BF552D"/>
    <w:rsid w:val="00C21D43"/>
    <w:rsid w:val="00C3298D"/>
    <w:rsid w:val="00C82E50"/>
    <w:rsid w:val="00D97438"/>
    <w:rsid w:val="00DC5A8F"/>
    <w:rsid w:val="00E964D6"/>
    <w:rsid w:val="00F225AE"/>
    <w:rsid w:val="00F30B6F"/>
    <w:rsid w:val="00F558A9"/>
    <w:rsid w:val="5C465087"/>
    <w:rsid w:val="666F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8FD"/>
  <w15:docId w15:val="{C40C7CD3-9E3D-455F-854E-81A5BC0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9">
    <w:name w:val="Название Знак"/>
    <w:basedOn w:val="a0"/>
    <w:link w:val="af8"/>
    <w:uiPriority w:val="10"/>
    <w:qFormat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qFormat/>
    <w:rPr>
      <w:sz w:val="18"/>
    </w:rPr>
  </w:style>
  <w:style w:type="character" w:customStyle="1" w:styleId="ac">
    <w:name w:val="Текст концевой сноски Знак"/>
    <w:link w:val="ab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3">
    <w:name w:val="List Paragraph"/>
    <w:basedOn w:val="a"/>
    <w:link w:val="aff4"/>
    <w:uiPriority w:val="34"/>
    <w:qFormat/>
    <w:pPr>
      <w:ind w:left="720"/>
      <w:contextualSpacing/>
    </w:pPr>
  </w:style>
  <w:style w:type="character" w:customStyle="1" w:styleId="aff4">
    <w:name w:val="Абзац списка Знак"/>
    <w:link w:val="aff3"/>
    <w:uiPriority w:val="34"/>
    <w:qFormat/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5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b">
    <w:name w:val="Нижний колонтитул Знак"/>
    <w:basedOn w:val="a0"/>
    <w:link w:val="afa"/>
    <w:uiPriority w:val="99"/>
    <w:qFormat/>
  </w:style>
  <w:style w:type="character" w:customStyle="1" w:styleId="af0">
    <w:name w:val="Текст примечания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4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D9E1-8BE6-408C-82D3-4A8206B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2024-02-27T04:30:00Z</dcterms:created>
  <dcterms:modified xsi:type="dcterms:W3CDTF">2024-02-27T04:30:00Z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A38CEF6A7AEA447684E07B64F0D4EA37_12</vt:lpwstr>
  </property>
</Properties>
</file>