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99EF5" w14:textId="3BC1E7D3" w:rsidR="008912B0" w:rsidRDefault="008912B0" w:rsidP="008912B0">
      <w:pPr>
        <w:jc w:val="center"/>
        <w:rPr>
          <w:b/>
          <w:color w:val="4472C4" w:themeColor="accent1"/>
          <w:sz w:val="28"/>
        </w:rPr>
      </w:pPr>
      <w:bookmarkStart w:id="0" w:name="_GoBack"/>
      <w:bookmarkEnd w:id="0"/>
      <w:r w:rsidRPr="008912B0">
        <w:rPr>
          <w:b/>
          <w:color w:val="4472C4" w:themeColor="accent1"/>
          <w:sz w:val="28"/>
        </w:rPr>
        <w:t xml:space="preserve">СОСТАВ ОБНОВЛЕНИЙ РИС ЗАКУПКИ ПК ОТ </w:t>
      </w:r>
      <w:r w:rsidR="000454BC">
        <w:rPr>
          <w:b/>
          <w:color w:val="4472C4" w:themeColor="accent1"/>
          <w:sz w:val="28"/>
        </w:rPr>
        <w:t>2</w:t>
      </w:r>
      <w:r w:rsidR="00FB7484">
        <w:rPr>
          <w:b/>
          <w:color w:val="4472C4" w:themeColor="accent1"/>
          <w:sz w:val="28"/>
        </w:rPr>
        <w:t>5</w:t>
      </w:r>
      <w:r w:rsidRPr="008912B0">
        <w:rPr>
          <w:b/>
          <w:color w:val="4472C4" w:themeColor="accent1"/>
          <w:sz w:val="28"/>
        </w:rPr>
        <w:t>.</w:t>
      </w:r>
      <w:r w:rsidR="000D2845" w:rsidRPr="000D2845">
        <w:rPr>
          <w:b/>
          <w:color w:val="4472C4" w:themeColor="accent1"/>
          <w:sz w:val="28"/>
        </w:rPr>
        <w:t>0</w:t>
      </w:r>
      <w:r w:rsidR="00FB7484">
        <w:rPr>
          <w:b/>
          <w:color w:val="4472C4" w:themeColor="accent1"/>
          <w:sz w:val="28"/>
        </w:rPr>
        <w:t>6</w:t>
      </w:r>
      <w:r w:rsidRPr="008912B0">
        <w:rPr>
          <w:b/>
          <w:color w:val="4472C4" w:themeColor="accent1"/>
          <w:sz w:val="28"/>
        </w:rPr>
        <w:t>.20</w:t>
      </w:r>
      <w:r w:rsidR="000D2845" w:rsidRPr="000D2845">
        <w:rPr>
          <w:b/>
          <w:color w:val="4472C4" w:themeColor="accent1"/>
          <w:sz w:val="28"/>
        </w:rPr>
        <w:t>20</w:t>
      </w:r>
      <w:r w:rsidRPr="008912B0">
        <w:rPr>
          <w:b/>
          <w:color w:val="4472C4" w:themeColor="accent1"/>
          <w:sz w:val="28"/>
        </w:rPr>
        <w:t xml:space="preserve"> г.</w:t>
      </w:r>
    </w:p>
    <w:p w14:paraId="1A73EBC2" w14:textId="77777777" w:rsidR="00665F1E" w:rsidRDefault="00665F1E" w:rsidP="008912B0">
      <w:pPr>
        <w:jc w:val="center"/>
        <w:rPr>
          <w:b/>
          <w:color w:val="4472C4" w:themeColor="accent1"/>
          <w:sz w:val="28"/>
        </w:rPr>
      </w:pPr>
    </w:p>
    <w:p w14:paraId="052FE58D" w14:textId="71ABDF0E" w:rsidR="00D71D28" w:rsidRDefault="00D71D28" w:rsidP="00E16FEB">
      <w:pPr>
        <w:pStyle w:val="a3"/>
        <w:spacing w:line="360" w:lineRule="auto"/>
        <w:contextualSpacing w:val="0"/>
        <w:jc w:val="center"/>
        <w:rPr>
          <w:b/>
          <w:bCs/>
          <w:sz w:val="24"/>
          <w:szCs w:val="24"/>
        </w:rPr>
      </w:pPr>
      <w:r>
        <w:rPr>
          <w:b/>
          <w:bCs/>
          <w:sz w:val="24"/>
          <w:szCs w:val="24"/>
        </w:rPr>
        <w:t>Подсистема «Планирование»</w:t>
      </w:r>
    </w:p>
    <w:p w14:paraId="5DC79211" w14:textId="77777777" w:rsidR="002E36E4" w:rsidRPr="002E36E4" w:rsidRDefault="002E36E4" w:rsidP="002E36E4">
      <w:pPr>
        <w:pStyle w:val="a3"/>
        <w:numPr>
          <w:ilvl w:val="0"/>
          <w:numId w:val="2"/>
        </w:numPr>
        <w:spacing w:line="360" w:lineRule="auto"/>
        <w:contextualSpacing w:val="0"/>
        <w:jc w:val="both"/>
        <w:rPr>
          <w:i/>
          <w:iCs/>
          <w:sz w:val="24"/>
          <w:szCs w:val="24"/>
        </w:rPr>
      </w:pPr>
      <w:r>
        <w:rPr>
          <w:sz w:val="24"/>
          <w:szCs w:val="24"/>
        </w:rPr>
        <w:t xml:space="preserve">В карточке лота реализован новый блок «Объекты адресного перечня». Блок необходимо заполнять при внесении позиции в план-график, если планируется осуществление закупки в рамках адресной инвестиционной программы. </w:t>
      </w:r>
    </w:p>
    <w:p w14:paraId="4C3B6DFE" w14:textId="42D9DC87" w:rsidR="002E36E4" w:rsidRDefault="002E36E4" w:rsidP="002E36E4">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016465">
        <w:rPr>
          <w:i/>
          <w:iCs/>
          <w:sz w:val="24"/>
          <w:szCs w:val="24"/>
        </w:rPr>
        <w:t xml:space="preserve">описаны в </w:t>
      </w:r>
      <w:r w:rsidRPr="001043A1">
        <w:rPr>
          <w:i/>
          <w:iCs/>
          <w:sz w:val="24"/>
          <w:szCs w:val="24"/>
        </w:rPr>
        <w:t>п. 5.</w:t>
      </w:r>
      <w:r w:rsidR="001043A1" w:rsidRPr="001043A1">
        <w:rPr>
          <w:i/>
          <w:iCs/>
          <w:sz w:val="24"/>
          <w:szCs w:val="24"/>
        </w:rPr>
        <w:t>2.5</w:t>
      </w:r>
      <w:r w:rsidRPr="00016465">
        <w:rPr>
          <w:i/>
          <w:iCs/>
          <w:sz w:val="24"/>
          <w:szCs w:val="24"/>
        </w:rPr>
        <w:t xml:space="preserve"> инструкции</w:t>
      </w:r>
      <w:r w:rsidRPr="004576BA">
        <w:rPr>
          <w:i/>
          <w:iCs/>
          <w:sz w:val="24"/>
          <w:szCs w:val="24"/>
        </w:rPr>
        <w:t xml:space="preserve"> по подсистеме «Планирование» от </w:t>
      </w:r>
      <w:r>
        <w:rPr>
          <w:i/>
          <w:iCs/>
          <w:sz w:val="24"/>
          <w:szCs w:val="24"/>
        </w:rPr>
        <w:t>25</w:t>
      </w:r>
      <w:r w:rsidRPr="004576BA">
        <w:rPr>
          <w:i/>
          <w:iCs/>
          <w:sz w:val="24"/>
          <w:szCs w:val="24"/>
        </w:rPr>
        <w:t>.0</w:t>
      </w:r>
      <w:r>
        <w:rPr>
          <w:i/>
          <w:iCs/>
          <w:sz w:val="24"/>
          <w:szCs w:val="24"/>
        </w:rPr>
        <w:t>6</w:t>
      </w:r>
      <w:r w:rsidRPr="004576BA">
        <w:rPr>
          <w:i/>
          <w:iCs/>
          <w:sz w:val="24"/>
          <w:szCs w:val="24"/>
        </w:rPr>
        <w:t xml:space="preserve">.2020 г. </w:t>
      </w:r>
    </w:p>
    <w:p w14:paraId="0E97FD27" w14:textId="77777777" w:rsidR="002E36E4" w:rsidRDefault="002E36E4" w:rsidP="00017478">
      <w:pPr>
        <w:pStyle w:val="a3"/>
        <w:numPr>
          <w:ilvl w:val="0"/>
          <w:numId w:val="2"/>
        </w:numPr>
        <w:spacing w:line="360" w:lineRule="auto"/>
        <w:contextualSpacing w:val="0"/>
        <w:jc w:val="both"/>
        <w:rPr>
          <w:sz w:val="24"/>
          <w:szCs w:val="24"/>
        </w:rPr>
      </w:pPr>
      <w:r>
        <w:rPr>
          <w:sz w:val="24"/>
          <w:szCs w:val="24"/>
        </w:rPr>
        <w:t>В карточку лота внесены следующие изменения:</w:t>
      </w:r>
    </w:p>
    <w:p w14:paraId="17C148F8" w14:textId="2213A314" w:rsidR="002E36E4" w:rsidRPr="00EA17E0" w:rsidRDefault="002E36E4" w:rsidP="002E36E4">
      <w:pPr>
        <w:pStyle w:val="a3"/>
        <w:spacing w:line="360" w:lineRule="auto"/>
        <w:contextualSpacing w:val="0"/>
        <w:jc w:val="both"/>
        <w:rPr>
          <w:sz w:val="24"/>
          <w:szCs w:val="24"/>
          <w:u w:val="single"/>
        </w:rPr>
      </w:pPr>
      <w:r w:rsidRPr="00EA17E0">
        <w:rPr>
          <w:sz w:val="24"/>
          <w:szCs w:val="24"/>
          <w:u w:val="single"/>
        </w:rPr>
        <w:t xml:space="preserve">Блок «Условия закупки»: </w:t>
      </w:r>
    </w:p>
    <w:p w14:paraId="66256396" w14:textId="6523FCF3" w:rsidR="002E36E4" w:rsidRDefault="002E36E4" w:rsidP="002E36E4">
      <w:pPr>
        <w:pStyle w:val="a3"/>
        <w:numPr>
          <w:ilvl w:val="0"/>
          <w:numId w:val="8"/>
        </w:numPr>
        <w:spacing w:after="0" w:line="360" w:lineRule="auto"/>
        <w:contextualSpacing w:val="0"/>
        <w:jc w:val="both"/>
        <w:rPr>
          <w:sz w:val="24"/>
          <w:szCs w:val="24"/>
        </w:rPr>
      </w:pPr>
      <w:r>
        <w:rPr>
          <w:sz w:val="24"/>
          <w:szCs w:val="24"/>
        </w:rPr>
        <w:t>Поле «</w:t>
      </w:r>
      <w:r w:rsidRPr="002E36E4">
        <w:rPr>
          <w:sz w:val="24"/>
          <w:szCs w:val="24"/>
        </w:rPr>
        <w:t>Предусмотрена возможность изменения количества товара/объема работ/услуг на 10% в ходе исполнения контракта» переименовано в «Предусмотрена возможность изменения количества товара/объема работ/услуг в соответствии с п.п. Б п.1 ч. 1 ст.95 44-ФЗ»</w:t>
      </w:r>
      <w:r>
        <w:rPr>
          <w:sz w:val="24"/>
          <w:szCs w:val="24"/>
        </w:rPr>
        <w:t>;</w:t>
      </w:r>
    </w:p>
    <w:p w14:paraId="30ABD390" w14:textId="7A619F80" w:rsidR="002E36E4" w:rsidRPr="002E36E4" w:rsidRDefault="002E36E4" w:rsidP="002E36E4">
      <w:pPr>
        <w:pStyle w:val="a3"/>
        <w:numPr>
          <w:ilvl w:val="0"/>
          <w:numId w:val="8"/>
        </w:numPr>
        <w:spacing w:after="0" w:line="360" w:lineRule="auto"/>
        <w:contextualSpacing w:val="0"/>
        <w:jc w:val="both"/>
        <w:rPr>
          <w:sz w:val="24"/>
          <w:szCs w:val="24"/>
        </w:rPr>
      </w:pPr>
      <w:r>
        <w:rPr>
          <w:sz w:val="24"/>
          <w:szCs w:val="24"/>
        </w:rPr>
        <w:t>Добавлено поле «</w:t>
      </w:r>
      <w:r w:rsidRPr="002E36E4">
        <w:rPr>
          <w:sz w:val="24"/>
          <w:szCs w:val="24"/>
        </w:rPr>
        <w:t>Предусмотрена возможность изменения объема и видов работ в соответствии с п.п. В п.1 ч. 1 ст.95 44-ФЗ»;</w:t>
      </w:r>
    </w:p>
    <w:p w14:paraId="0E30EF88" w14:textId="0EA3C52F" w:rsidR="002E36E4" w:rsidRPr="002E36E4" w:rsidRDefault="002E36E4" w:rsidP="002E36E4">
      <w:pPr>
        <w:pStyle w:val="a3"/>
        <w:numPr>
          <w:ilvl w:val="0"/>
          <w:numId w:val="8"/>
        </w:numPr>
        <w:spacing w:after="0" w:line="360" w:lineRule="auto"/>
        <w:contextualSpacing w:val="0"/>
        <w:jc w:val="both"/>
        <w:rPr>
          <w:sz w:val="24"/>
          <w:szCs w:val="24"/>
        </w:rPr>
      </w:pPr>
      <w:r w:rsidRPr="002E36E4">
        <w:rPr>
          <w:sz w:val="24"/>
          <w:szCs w:val="24"/>
        </w:rPr>
        <w:t>Добавлено поле «Допускается использование эквивалента»;</w:t>
      </w:r>
    </w:p>
    <w:p w14:paraId="3BD04F67" w14:textId="07AABEC7" w:rsidR="002E36E4" w:rsidRPr="002E36E4" w:rsidRDefault="002E36E4" w:rsidP="002E36E4">
      <w:pPr>
        <w:pStyle w:val="a3"/>
        <w:numPr>
          <w:ilvl w:val="0"/>
          <w:numId w:val="8"/>
        </w:numPr>
        <w:spacing w:after="0" w:line="360" w:lineRule="auto"/>
        <w:contextualSpacing w:val="0"/>
        <w:jc w:val="both"/>
        <w:rPr>
          <w:sz w:val="24"/>
          <w:szCs w:val="24"/>
        </w:rPr>
      </w:pPr>
      <w:r w:rsidRPr="002E36E4">
        <w:rPr>
          <w:sz w:val="24"/>
          <w:szCs w:val="24"/>
        </w:rPr>
        <w:t>Добавлено поле «Установлено требование в соответствии с ПП РФ от 15.05.2017 № 570»;</w:t>
      </w:r>
    </w:p>
    <w:p w14:paraId="3C65924A" w14:textId="279B5752" w:rsidR="002E36E4" w:rsidRDefault="002E36E4" w:rsidP="002E36E4">
      <w:pPr>
        <w:pStyle w:val="a3"/>
        <w:numPr>
          <w:ilvl w:val="0"/>
          <w:numId w:val="8"/>
        </w:numPr>
        <w:spacing w:after="0" w:line="360" w:lineRule="auto"/>
        <w:contextualSpacing w:val="0"/>
        <w:jc w:val="both"/>
        <w:rPr>
          <w:sz w:val="24"/>
          <w:szCs w:val="24"/>
        </w:rPr>
      </w:pPr>
      <w:r w:rsidRPr="002E36E4">
        <w:rPr>
          <w:sz w:val="24"/>
          <w:szCs w:val="24"/>
        </w:rPr>
        <w:t>Добавлено поле «Поставка в пользу третьих лиц».</w:t>
      </w:r>
    </w:p>
    <w:p w14:paraId="0D71AF1F" w14:textId="2A11AD7A" w:rsidR="002E36E4" w:rsidRDefault="002E36E4" w:rsidP="00EA17E0">
      <w:pPr>
        <w:spacing w:after="0" w:line="360" w:lineRule="auto"/>
        <w:ind w:left="709"/>
        <w:jc w:val="both"/>
        <w:rPr>
          <w:sz w:val="24"/>
          <w:szCs w:val="24"/>
        </w:rPr>
      </w:pPr>
      <w:r>
        <w:rPr>
          <w:sz w:val="24"/>
          <w:szCs w:val="24"/>
        </w:rPr>
        <w:t xml:space="preserve">Заполнение полей необходимо для корректного формирования информационной карты и </w:t>
      </w:r>
      <w:r w:rsidR="00EA17E0">
        <w:rPr>
          <w:sz w:val="24"/>
          <w:szCs w:val="24"/>
        </w:rPr>
        <w:t xml:space="preserve">проекта контракта. </w:t>
      </w:r>
    </w:p>
    <w:p w14:paraId="7BC159B7" w14:textId="7CE04962" w:rsidR="00EA17E0" w:rsidRDefault="00EA17E0" w:rsidP="00EA17E0">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016465">
        <w:rPr>
          <w:i/>
          <w:iCs/>
          <w:sz w:val="24"/>
          <w:szCs w:val="24"/>
        </w:rPr>
        <w:t xml:space="preserve">описаны в </w:t>
      </w:r>
      <w:r w:rsidR="00DB65E3" w:rsidRPr="00DB65E3">
        <w:rPr>
          <w:i/>
          <w:iCs/>
          <w:sz w:val="24"/>
          <w:szCs w:val="24"/>
        </w:rPr>
        <w:t>п. 5.11.2</w:t>
      </w:r>
      <w:r w:rsidRPr="00DB65E3">
        <w:rPr>
          <w:i/>
          <w:iCs/>
          <w:sz w:val="24"/>
          <w:szCs w:val="24"/>
        </w:rPr>
        <w:t>.1</w:t>
      </w:r>
      <w:r w:rsidR="00DB65E3" w:rsidRPr="00DB65E3">
        <w:rPr>
          <w:i/>
          <w:iCs/>
          <w:sz w:val="24"/>
          <w:szCs w:val="24"/>
        </w:rPr>
        <w:t>3</w:t>
      </w:r>
      <w:r w:rsidRPr="00016465">
        <w:rPr>
          <w:i/>
          <w:iCs/>
          <w:sz w:val="24"/>
          <w:szCs w:val="24"/>
        </w:rPr>
        <w:t xml:space="preserve"> инструкции</w:t>
      </w:r>
      <w:r w:rsidRPr="004576BA">
        <w:rPr>
          <w:i/>
          <w:iCs/>
          <w:sz w:val="24"/>
          <w:szCs w:val="24"/>
        </w:rPr>
        <w:t xml:space="preserve"> по подсистеме «Планирование» от </w:t>
      </w:r>
      <w:r>
        <w:rPr>
          <w:i/>
          <w:iCs/>
          <w:sz w:val="24"/>
          <w:szCs w:val="24"/>
        </w:rPr>
        <w:t>25</w:t>
      </w:r>
      <w:r w:rsidRPr="004576BA">
        <w:rPr>
          <w:i/>
          <w:iCs/>
          <w:sz w:val="24"/>
          <w:szCs w:val="24"/>
        </w:rPr>
        <w:t>.0</w:t>
      </w:r>
      <w:r>
        <w:rPr>
          <w:i/>
          <w:iCs/>
          <w:sz w:val="24"/>
          <w:szCs w:val="24"/>
        </w:rPr>
        <w:t>6</w:t>
      </w:r>
      <w:r w:rsidRPr="004576BA">
        <w:rPr>
          <w:i/>
          <w:iCs/>
          <w:sz w:val="24"/>
          <w:szCs w:val="24"/>
        </w:rPr>
        <w:t xml:space="preserve">.2020 г. </w:t>
      </w:r>
    </w:p>
    <w:p w14:paraId="35F72F0E" w14:textId="43D9524A" w:rsidR="00EA17E0" w:rsidRPr="00EA17E0" w:rsidRDefault="00EA17E0" w:rsidP="00EA17E0">
      <w:pPr>
        <w:pStyle w:val="a3"/>
        <w:spacing w:line="360" w:lineRule="auto"/>
        <w:contextualSpacing w:val="0"/>
        <w:jc w:val="both"/>
        <w:rPr>
          <w:sz w:val="24"/>
          <w:szCs w:val="24"/>
          <w:u w:val="single"/>
        </w:rPr>
      </w:pPr>
      <w:r w:rsidRPr="00EA17E0">
        <w:rPr>
          <w:sz w:val="24"/>
          <w:szCs w:val="24"/>
          <w:u w:val="single"/>
        </w:rPr>
        <w:t xml:space="preserve">Блок «Обеспечение исполнения контракта»: </w:t>
      </w:r>
    </w:p>
    <w:p w14:paraId="66D4F48A" w14:textId="20F6A6FC" w:rsidR="00EA17E0" w:rsidRDefault="00EA17E0" w:rsidP="00EA17E0">
      <w:pPr>
        <w:pStyle w:val="a3"/>
        <w:numPr>
          <w:ilvl w:val="0"/>
          <w:numId w:val="8"/>
        </w:numPr>
        <w:spacing w:after="0" w:line="360" w:lineRule="auto"/>
        <w:contextualSpacing w:val="0"/>
        <w:jc w:val="both"/>
        <w:rPr>
          <w:sz w:val="24"/>
          <w:szCs w:val="24"/>
        </w:rPr>
      </w:pPr>
      <w:r>
        <w:rPr>
          <w:sz w:val="24"/>
          <w:szCs w:val="24"/>
        </w:rPr>
        <w:t>Добавлено поле «Осуществляется казначейское сопровождение контракта».</w:t>
      </w:r>
    </w:p>
    <w:p w14:paraId="3C085D37" w14:textId="54574302" w:rsidR="00EA17E0" w:rsidRDefault="00EA17E0" w:rsidP="00EA17E0">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016465">
        <w:rPr>
          <w:i/>
          <w:iCs/>
          <w:sz w:val="24"/>
          <w:szCs w:val="24"/>
        </w:rPr>
        <w:t xml:space="preserve">описаны в </w:t>
      </w:r>
      <w:r w:rsidRPr="001043A1">
        <w:rPr>
          <w:i/>
          <w:iCs/>
          <w:sz w:val="24"/>
          <w:szCs w:val="24"/>
        </w:rPr>
        <w:t>п. 5.11.</w:t>
      </w:r>
      <w:r w:rsidR="001043A1" w:rsidRPr="001043A1">
        <w:rPr>
          <w:i/>
          <w:iCs/>
          <w:sz w:val="24"/>
          <w:szCs w:val="24"/>
        </w:rPr>
        <w:t>2</w:t>
      </w:r>
      <w:r w:rsidRPr="001043A1">
        <w:rPr>
          <w:i/>
          <w:iCs/>
          <w:sz w:val="24"/>
          <w:szCs w:val="24"/>
        </w:rPr>
        <w:t>.</w:t>
      </w:r>
      <w:r w:rsidR="001043A1" w:rsidRPr="001043A1">
        <w:rPr>
          <w:i/>
          <w:iCs/>
          <w:sz w:val="24"/>
          <w:szCs w:val="24"/>
        </w:rPr>
        <w:t>7</w:t>
      </w:r>
      <w:r w:rsidRPr="001043A1">
        <w:rPr>
          <w:i/>
          <w:iCs/>
          <w:sz w:val="24"/>
          <w:szCs w:val="24"/>
        </w:rPr>
        <w:t xml:space="preserve"> инструкции</w:t>
      </w:r>
      <w:r w:rsidRPr="004576BA">
        <w:rPr>
          <w:i/>
          <w:iCs/>
          <w:sz w:val="24"/>
          <w:szCs w:val="24"/>
        </w:rPr>
        <w:t xml:space="preserve"> по подсистеме «Планирование» от </w:t>
      </w:r>
      <w:r>
        <w:rPr>
          <w:i/>
          <w:iCs/>
          <w:sz w:val="24"/>
          <w:szCs w:val="24"/>
        </w:rPr>
        <w:t>25</w:t>
      </w:r>
      <w:r w:rsidRPr="004576BA">
        <w:rPr>
          <w:i/>
          <w:iCs/>
          <w:sz w:val="24"/>
          <w:szCs w:val="24"/>
        </w:rPr>
        <w:t>.0</w:t>
      </w:r>
      <w:r>
        <w:rPr>
          <w:i/>
          <w:iCs/>
          <w:sz w:val="24"/>
          <w:szCs w:val="24"/>
        </w:rPr>
        <w:t>6</w:t>
      </w:r>
      <w:r w:rsidRPr="004576BA">
        <w:rPr>
          <w:i/>
          <w:iCs/>
          <w:sz w:val="24"/>
          <w:szCs w:val="24"/>
        </w:rPr>
        <w:t xml:space="preserve">.2020 г. </w:t>
      </w:r>
    </w:p>
    <w:p w14:paraId="3170DFFF" w14:textId="2ADAB772" w:rsidR="00EA17E0" w:rsidRPr="00EA17E0" w:rsidRDefault="00EA17E0" w:rsidP="00EA17E0">
      <w:pPr>
        <w:pStyle w:val="a3"/>
        <w:spacing w:line="360" w:lineRule="auto"/>
        <w:contextualSpacing w:val="0"/>
        <w:jc w:val="both"/>
        <w:rPr>
          <w:sz w:val="24"/>
          <w:szCs w:val="24"/>
          <w:u w:val="single"/>
        </w:rPr>
      </w:pPr>
      <w:r w:rsidRPr="00EA17E0">
        <w:rPr>
          <w:sz w:val="24"/>
          <w:szCs w:val="24"/>
          <w:u w:val="single"/>
        </w:rPr>
        <w:t>Блок «Обеспечение гарантийных обязательств»:</w:t>
      </w:r>
    </w:p>
    <w:p w14:paraId="603775E7" w14:textId="291025EF" w:rsidR="00EA17E0" w:rsidRPr="00EA17E0" w:rsidRDefault="00EA17E0" w:rsidP="00EA17E0">
      <w:pPr>
        <w:pStyle w:val="a3"/>
        <w:numPr>
          <w:ilvl w:val="0"/>
          <w:numId w:val="8"/>
        </w:numPr>
        <w:spacing w:after="0" w:line="360" w:lineRule="auto"/>
        <w:contextualSpacing w:val="0"/>
        <w:jc w:val="both"/>
        <w:rPr>
          <w:sz w:val="24"/>
          <w:szCs w:val="24"/>
        </w:rPr>
      </w:pPr>
      <w:r>
        <w:rPr>
          <w:sz w:val="24"/>
          <w:szCs w:val="24"/>
        </w:rPr>
        <w:lastRenderedPageBreak/>
        <w:t>Поле «</w:t>
      </w:r>
      <w:r w:rsidRPr="00EA17E0">
        <w:rPr>
          <w:sz w:val="24"/>
          <w:szCs w:val="24"/>
        </w:rPr>
        <w:t>Порядок внесения гарантийных обязательств» переименовано в «Порядок внесения обеспечения гарантийных обязательств».</w:t>
      </w:r>
    </w:p>
    <w:p w14:paraId="4CFC47CB" w14:textId="54EECED2" w:rsidR="00E83001" w:rsidRDefault="00E83001" w:rsidP="00017478">
      <w:pPr>
        <w:pStyle w:val="a3"/>
        <w:numPr>
          <w:ilvl w:val="0"/>
          <w:numId w:val="2"/>
        </w:numPr>
        <w:spacing w:line="360" w:lineRule="auto"/>
        <w:contextualSpacing w:val="0"/>
        <w:jc w:val="both"/>
        <w:rPr>
          <w:sz w:val="24"/>
          <w:szCs w:val="24"/>
        </w:rPr>
      </w:pPr>
      <w:r>
        <w:rPr>
          <w:sz w:val="24"/>
          <w:szCs w:val="24"/>
        </w:rPr>
        <w:t>В блоке «Содержание закупки» поле «</w:t>
      </w:r>
      <w:r w:rsidRPr="00E83001">
        <w:rPr>
          <w:sz w:val="24"/>
          <w:szCs w:val="24"/>
        </w:rPr>
        <w:t xml:space="preserve">Контракт на проведение работ по строительству, реконструкции, кап. ремонту, сносу объекта кап. </w:t>
      </w:r>
      <w:r>
        <w:rPr>
          <w:sz w:val="24"/>
          <w:szCs w:val="24"/>
        </w:rPr>
        <w:t>с</w:t>
      </w:r>
      <w:r w:rsidRPr="00E83001">
        <w:rPr>
          <w:sz w:val="24"/>
          <w:szCs w:val="24"/>
        </w:rPr>
        <w:t>троительства</w:t>
      </w:r>
      <w:r>
        <w:rPr>
          <w:sz w:val="24"/>
          <w:szCs w:val="24"/>
        </w:rPr>
        <w:t>» доступно для заполнения для лотов со способом определения поставщика «открытый конкурс в электронной форме» и «конкурс с ограниченным участием в электронной форме» (ранее было доступно только для лотов со способом определения поставщика «электронный аукцион»). Обращаем внимание, что при установке значения «Да» в данном поле к лоту обязательно должен быть прикреплен документ с типом «Проектно-сметная документация».</w:t>
      </w:r>
    </w:p>
    <w:p w14:paraId="14F443F3" w14:textId="73C4DE5A" w:rsidR="00BB4816" w:rsidRDefault="00BB4816" w:rsidP="00017478">
      <w:pPr>
        <w:pStyle w:val="a3"/>
        <w:numPr>
          <w:ilvl w:val="0"/>
          <w:numId w:val="2"/>
        </w:numPr>
        <w:spacing w:line="360" w:lineRule="auto"/>
        <w:contextualSpacing w:val="0"/>
        <w:jc w:val="both"/>
        <w:rPr>
          <w:sz w:val="24"/>
          <w:szCs w:val="24"/>
        </w:rPr>
      </w:pPr>
      <w:r>
        <w:rPr>
          <w:sz w:val="24"/>
          <w:szCs w:val="24"/>
        </w:rPr>
        <w:t>В текст предупреждения о превышении допустимого годового объема закупок по п.4 и п.5 ч.1 ст.93 44-ФЗ добавлено отображение года, по которому зафиксировано превышение.</w:t>
      </w:r>
    </w:p>
    <w:p w14:paraId="6E46A51F" w14:textId="1EB15AC7" w:rsidR="00D77108" w:rsidRDefault="00064D1D" w:rsidP="00017478">
      <w:pPr>
        <w:pStyle w:val="a3"/>
        <w:numPr>
          <w:ilvl w:val="0"/>
          <w:numId w:val="2"/>
        </w:numPr>
        <w:spacing w:line="360" w:lineRule="auto"/>
        <w:contextualSpacing w:val="0"/>
        <w:jc w:val="both"/>
        <w:rPr>
          <w:sz w:val="24"/>
          <w:szCs w:val="24"/>
        </w:rPr>
      </w:pPr>
      <w:r>
        <w:rPr>
          <w:sz w:val="24"/>
          <w:szCs w:val="24"/>
        </w:rPr>
        <w:t xml:space="preserve">Для организаций краевого уровня при утверждении и согласовании плана-графика ГРБС реализовано предупреждение о наличии в плане-графике лотов, которые содержат признаки ухода от размещения через уполномоченный орган. Предупреждение будет срабатывать в зависимости от суммы финансового обеспечения лота в соответствии с настройками, установленными уполномоченным органом. </w:t>
      </w:r>
    </w:p>
    <w:p w14:paraId="6787E48D" w14:textId="700865BF" w:rsidR="00051B37" w:rsidRDefault="00962375" w:rsidP="00975950">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016465">
        <w:rPr>
          <w:i/>
          <w:iCs/>
          <w:sz w:val="24"/>
          <w:szCs w:val="24"/>
        </w:rPr>
        <w:t xml:space="preserve">описаны в </w:t>
      </w:r>
      <w:r w:rsidRPr="00EF7B03">
        <w:rPr>
          <w:i/>
          <w:iCs/>
          <w:sz w:val="24"/>
          <w:szCs w:val="24"/>
        </w:rPr>
        <w:t>п.</w:t>
      </w:r>
      <w:r w:rsidR="00016465" w:rsidRPr="00EF7B03">
        <w:rPr>
          <w:i/>
          <w:iCs/>
          <w:sz w:val="24"/>
          <w:szCs w:val="24"/>
        </w:rPr>
        <w:t> </w:t>
      </w:r>
      <w:r w:rsidR="00EF7B03">
        <w:rPr>
          <w:i/>
          <w:iCs/>
          <w:sz w:val="24"/>
          <w:szCs w:val="24"/>
        </w:rPr>
        <w:t>6.</w:t>
      </w:r>
      <w:r w:rsidRPr="00EF7B03">
        <w:rPr>
          <w:i/>
          <w:iCs/>
          <w:sz w:val="24"/>
          <w:szCs w:val="24"/>
        </w:rPr>
        <w:t>5</w:t>
      </w:r>
      <w:r w:rsidR="00EF7B03">
        <w:rPr>
          <w:i/>
          <w:iCs/>
          <w:sz w:val="24"/>
          <w:szCs w:val="24"/>
        </w:rPr>
        <w:t xml:space="preserve"> </w:t>
      </w:r>
      <w:r w:rsidRPr="00016465">
        <w:rPr>
          <w:i/>
          <w:iCs/>
          <w:sz w:val="24"/>
          <w:szCs w:val="24"/>
        </w:rPr>
        <w:t>инструкции</w:t>
      </w:r>
      <w:r w:rsidRPr="004576BA">
        <w:rPr>
          <w:i/>
          <w:iCs/>
          <w:sz w:val="24"/>
          <w:szCs w:val="24"/>
        </w:rPr>
        <w:t xml:space="preserve"> по подсистеме «Планирование» от </w:t>
      </w:r>
      <w:r w:rsidR="00975950">
        <w:rPr>
          <w:i/>
          <w:iCs/>
          <w:sz w:val="24"/>
          <w:szCs w:val="24"/>
        </w:rPr>
        <w:t>2</w:t>
      </w:r>
      <w:r w:rsidR="00064D1D">
        <w:rPr>
          <w:i/>
          <w:iCs/>
          <w:sz w:val="24"/>
          <w:szCs w:val="24"/>
        </w:rPr>
        <w:t>5</w:t>
      </w:r>
      <w:r w:rsidRPr="004576BA">
        <w:rPr>
          <w:i/>
          <w:iCs/>
          <w:sz w:val="24"/>
          <w:szCs w:val="24"/>
        </w:rPr>
        <w:t>.0</w:t>
      </w:r>
      <w:r w:rsidR="00064D1D">
        <w:rPr>
          <w:i/>
          <w:iCs/>
          <w:sz w:val="24"/>
          <w:szCs w:val="24"/>
        </w:rPr>
        <w:t>6</w:t>
      </w:r>
      <w:r w:rsidRPr="004576BA">
        <w:rPr>
          <w:i/>
          <w:iCs/>
          <w:sz w:val="24"/>
          <w:szCs w:val="24"/>
        </w:rPr>
        <w:t xml:space="preserve">.2020 г. </w:t>
      </w:r>
    </w:p>
    <w:p w14:paraId="428FD631" w14:textId="77777777" w:rsidR="00901372" w:rsidRDefault="00901372" w:rsidP="0035522A">
      <w:pPr>
        <w:pStyle w:val="a3"/>
        <w:spacing w:line="360" w:lineRule="auto"/>
        <w:contextualSpacing w:val="0"/>
        <w:jc w:val="both"/>
        <w:rPr>
          <w:i/>
          <w:iCs/>
          <w:sz w:val="24"/>
          <w:szCs w:val="24"/>
        </w:rPr>
      </w:pPr>
    </w:p>
    <w:p w14:paraId="26D0BBE2" w14:textId="66CE2629" w:rsidR="001402A1" w:rsidRPr="00901372" w:rsidRDefault="00901372" w:rsidP="00901372">
      <w:pPr>
        <w:pStyle w:val="a3"/>
        <w:spacing w:line="360" w:lineRule="auto"/>
        <w:contextualSpacing w:val="0"/>
        <w:jc w:val="center"/>
        <w:rPr>
          <w:b/>
          <w:bCs/>
          <w:sz w:val="24"/>
          <w:szCs w:val="24"/>
        </w:rPr>
      </w:pPr>
      <w:r w:rsidRPr="00901372">
        <w:rPr>
          <w:b/>
          <w:bCs/>
          <w:sz w:val="24"/>
          <w:szCs w:val="24"/>
        </w:rPr>
        <w:t>Подсистема «Осуществление закупок»</w:t>
      </w:r>
    </w:p>
    <w:p w14:paraId="6FC05779" w14:textId="3B051CD1" w:rsidR="00D13BFC" w:rsidRDefault="00D13BFC" w:rsidP="00EA17E0">
      <w:pPr>
        <w:pStyle w:val="a3"/>
        <w:numPr>
          <w:ilvl w:val="0"/>
          <w:numId w:val="2"/>
        </w:numPr>
        <w:spacing w:line="360" w:lineRule="auto"/>
        <w:contextualSpacing w:val="0"/>
        <w:jc w:val="both"/>
        <w:rPr>
          <w:sz w:val="24"/>
          <w:szCs w:val="24"/>
        </w:rPr>
      </w:pPr>
      <w:r>
        <w:rPr>
          <w:sz w:val="24"/>
          <w:szCs w:val="24"/>
        </w:rPr>
        <w:t>В карточке закупки реализована возможность скачивания печатной формы документации о закупке (согласно форме, формируемой в ЕИС)</w:t>
      </w:r>
      <w:r w:rsidR="00483E59">
        <w:rPr>
          <w:sz w:val="24"/>
          <w:szCs w:val="24"/>
        </w:rPr>
        <w:t xml:space="preserve"> по кнопке «Печатная форма»</w:t>
      </w:r>
      <w:r>
        <w:rPr>
          <w:sz w:val="24"/>
          <w:szCs w:val="24"/>
        </w:rPr>
        <w:t xml:space="preserve">. </w:t>
      </w:r>
    </w:p>
    <w:p w14:paraId="67091699" w14:textId="1B64C6EC" w:rsidR="00D13BFC" w:rsidRPr="00E80CE7" w:rsidRDefault="00D13BFC" w:rsidP="00D13BFC">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13CB0">
        <w:rPr>
          <w:i/>
          <w:iCs/>
          <w:sz w:val="24"/>
          <w:szCs w:val="24"/>
        </w:rPr>
        <w:t>описаны в п</w:t>
      </w:r>
      <w:r w:rsidR="00D13CB0">
        <w:rPr>
          <w:i/>
          <w:iCs/>
          <w:sz w:val="24"/>
          <w:szCs w:val="24"/>
        </w:rPr>
        <w:t>п</w:t>
      </w:r>
      <w:r w:rsidRPr="00D13CB0">
        <w:rPr>
          <w:i/>
          <w:iCs/>
          <w:sz w:val="24"/>
          <w:szCs w:val="24"/>
        </w:rPr>
        <w:t>. </w:t>
      </w:r>
      <w:r w:rsidR="00D13CB0" w:rsidRPr="00D13CB0">
        <w:rPr>
          <w:i/>
          <w:iCs/>
          <w:sz w:val="24"/>
          <w:szCs w:val="24"/>
        </w:rPr>
        <w:t>4.4.2.2 и 4.</w:t>
      </w:r>
      <w:r w:rsidR="00D13CB0">
        <w:rPr>
          <w:i/>
          <w:iCs/>
          <w:sz w:val="24"/>
          <w:szCs w:val="24"/>
        </w:rPr>
        <w:t>4.19.1</w:t>
      </w:r>
      <w:r w:rsidRPr="00016465">
        <w:rPr>
          <w:i/>
          <w:iCs/>
          <w:sz w:val="24"/>
          <w:szCs w:val="24"/>
        </w:rPr>
        <w:t xml:space="preserve"> инструкции</w:t>
      </w:r>
      <w:r w:rsidRPr="004576BA">
        <w:rPr>
          <w:i/>
          <w:iCs/>
          <w:sz w:val="24"/>
          <w:szCs w:val="24"/>
        </w:rPr>
        <w:t xml:space="preserve"> по подсистеме «</w:t>
      </w:r>
      <w:r>
        <w:rPr>
          <w:i/>
          <w:iCs/>
          <w:sz w:val="24"/>
          <w:szCs w:val="24"/>
        </w:rPr>
        <w:t>Осуществление закупок</w:t>
      </w:r>
      <w:r w:rsidRPr="004576BA">
        <w:rPr>
          <w:i/>
          <w:iCs/>
          <w:sz w:val="24"/>
          <w:szCs w:val="24"/>
        </w:rPr>
        <w:t xml:space="preserve">» от </w:t>
      </w:r>
      <w:r>
        <w:rPr>
          <w:i/>
          <w:iCs/>
          <w:sz w:val="24"/>
          <w:szCs w:val="24"/>
        </w:rPr>
        <w:t>25</w:t>
      </w:r>
      <w:r w:rsidRPr="004576BA">
        <w:rPr>
          <w:i/>
          <w:iCs/>
          <w:sz w:val="24"/>
          <w:szCs w:val="24"/>
        </w:rPr>
        <w:t>.0</w:t>
      </w:r>
      <w:r>
        <w:rPr>
          <w:i/>
          <w:iCs/>
          <w:sz w:val="24"/>
          <w:szCs w:val="24"/>
        </w:rPr>
        <w:t>6</w:t>
      </w:r>
      <w:r w:rsidRPr="004576BA">
        <w:rPr>
          <w:i/>
          <w:iCs/>
          <w:sz w:val="24"/>
          <w:szCs w:val="24"/>
        </w:rPr>
        <w:t xml:space="preserve">.2020 г. </w:t>
      </w:r>
    </w:p>
    <w:p w14:paraId="08A8CA30" w14:textId="77777777" w:rsidR="00D13BFC" w:rsidRDefault="00D13BFC" w:rsidP="00D13BFC">
      <w:pPr>
        <w:pStyle w:val="a3"/>
        <w:spacing w:line="360" w:lineRule="auto"/>
        <w:contextualSpacing w:val="0"/>
        <w:jc w:val="both"/>
        <w:rPr>
          <w:sz w:val="24"/>
          <w:szCs w:val="24"/>
        </w:rPr>
      </w:pPr>
    </w:p>
    <w:p w14:paraId="65FFE977" w14:textId="715697EE" w:rsidR="00156B03" w:rsidRDefault="00156B03" w:rsidP="00EA17E0">
      <w:pPr>
        <w:pStyle w:val="a3"/>
        <w:numPr>
          <w:ilvl w:val="0"/>
          <w:numId w:val="2"/>
        </w:numPr>
        <w:spacing w:line="360" w:lineRule="auto"/>
        <w:contextualSpacing w:val="0"/>
        <w:jc w:val="both"/>
        <w:rPr>
          <w:sz w:val="24"/>
          <w:szCs w:val="24"/>
        </w:rPr>
      </w:pPr>
      <w:r>
        <w:rPr>
          <w:sz w:val="24"/>
          <w:szCs w:val="24"/>
        </w:rPr>
        <w:lastRenderedPageBreak/>
        <w:t xml:space="preserve">Реализовано отправка уведомления пользователям организаций – заказчиков и ГРБС о наличии закупок, которые находятся в статусе «Закупка не состоялась» более 15 дней и по ним не была сформирована повторная закупки или высвобождены средства из позиции плана-графика. </w:t>
      </w:r>
      <w:r w:rsidR="00E80CE7">
        <w:rPr>
          <w:sz w:val="24"/>
          <w:szCs w:val="24"/>
        </w:rPr>
        <w:t xml:space="preserve">Уведомления будут направлены пользователям организации-заказчика, имеющим роли </w:t>
      </w:r>
      <w:r w:rsidR="00DB65E3">
        <w:rPr>
          <w:sz w:val="24"/>
          <w:szCs w:val="24"/>
        </w:rPr>
        <w:t xml:space="preserve"> </w:t>
      </w:r>
      <w:r w:rsidR="00E80CE7">
        <w:rPr>
          <w:sz w:val="24"/>
          <w:szCs w:val="24"/>
        </w:rPr>
        <w:t>«Ответственный специалист ГЗ» и «Руководитель ГЗ», а также пользователям ГРБС, имеющим роли «ГРБС – согласование закупок», «ГРБС – муниципальный уровень».</w:t>
      </w:r>
    </w:p>
    <w:p w14:paraId="3D968D86" w14:textId="68C6307B" w:rsidR="00E80CE7" w:rsidRPr="00E80CE7" w:rsidRDefault="00E80CE7" w:rsidP="00E80CE7">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016465">
        <w:rPr>
          <w:i/>
          <w:iCs/>
          <w:sz w:val="24"/>
          <w:szCs w:val="24"/>
        </w:rPr>
        <w:t xml:space="preserve">описаны в </w:t>
      </w:r>
      <w:r w:rsidRPr="002128EA">
        <w:rPr>
          <w:i/>
          <w:iCs/>
          <w:sz w:val="24"/>
          <w:szCs w:val="24"/>
        </w:rPr>
        <w:t>п. </w:t>
      </w:r>
      <w:r w:rsidR="002128EA">
        <w:rPr>
          <w:i/>
          <w:iCs/>
          <w:sz w:val="24"/>
          <w:szCs w:val="24"/>
        </w:rPr>
        <w:t>4.</w:t>
      </w:r>
      <w:r w:rsidRPr="002128EA">
        <w:rPr>
          <w:i/>
          <w:iCs/>
          <w:sz w:val="24"/>
          <w:szCs w:val="24"/>
        </w:rPr>
        <w:t>5</w:t>
      </w:r>
      <w:r w:rsidR="00D45D66">
        <w:rPr>
          <w:i/>
          <w:iCs/>
          <w:sz w:val="24"/>
          <w:szCs w:val="24"/>
        </w:rPr>
        <w:t>.1</w:t>
      </w:r>
      <w:r w:rsidR="002128EA">
        <w:rPr>
          <w:i/>
          <w:iCs/>
          <w:sz w:val="24"/>
          <w:szCs w:val="24"/>
        </w:rPr>
        <w:t xml:space="preserve"> </w:t>
      </w:r>
      <w:r w:rsidRPr="00016465">
        <w:rPr>
          <w:i/>
          <w:iCs/>
          <w:sz w:val="24"/>
          <w:szCs w:val="24"/>
        </w:rPr>
        <w:t>инструкции</w:t>
      </w:r>
      <w:r w:rsidRPr="004576BA">
        <w:rPr>
          <w:i/>
          <w:iCs/>
          <w:sz w:val="24"/>
          <w:szCs w:val="24"/>
        </w:rPr>
        <w:t xml:space="preserve"> по подсистеме «</w:t>
      </w:r>
      <w:r>
        <w:rPr>
          <w:i/>
          <w:iCs/>
          <w:sz w:val="24"/>
          <w:szCs w:val="24"/>
        </w:rPr>
        <w:t>Осуществление закупок</w:t>
      </w:r>
      <w:r w:rsidRPr="004576BA">
        <w:rPr>
          <w:i/>
          <w:iCs/>
          <w:sz w:val="24"/>
          <w:szCs w:val="24"/>
        </w:rPr>
        <w:t xml:space="preserve">» от </w:t>
      </w:r>
      <w:r>
        <w:rPr>
          <w:i/>
          <w:iCs/>
          <w:sz w:val="24"/>
          <w:szCs w:val="24"/>
        </w:rPr>
        <w:t>25</w:t>
      </w:r>
      <w:r w:rsidRPr="004576BA">
        <w:rPr>
          <w:i/>
          <w:iCs/>
          <w:sz w:val="24"/>
          <w:szCs w:val="24"/>
        </w:rPr>
        <w:t>.0</w:t>
      </w:r>
      <w:r>
        <w:rPr>
          <w:i/>
          <w:iCs/>
          <w:sz w:val="24"/>
          <w:szCs w:val="24"/>
        </w:rPr>
        <w:t>6</w:t>
      </w:r>
      <w:r w:rsidRPr="004576BA">
        <w:rPr>
          <w:i/>
          <w:iCs/>
          <w:sz w:val="24"/>
          <w:szCs w:val="24"/>
        </w:rPr>
        <w:t xml:space="preserve">.2020 г. </w:t>
      </w:r>
    </w:p>
    <w:p w14:paraId="33800C53" w14:textId="2FF85C76" w:rsidR="00EA17E0" w:rsidRDefault="00EA17E0" w:rsidP="00EA17E0">
      <w:pPr>
        <w:pStyle w:val="a3"/>
        <w:numPr>
          <w:ilvl w:val="0"/>
          <w:numId w:val="2"/>
        </w:numPr>
        <w:spacing w:line="360" w:lineRule="auto"/>
        <w:contextualSpacing w:val="0"/>
        <w:jc w:val="both"/>
        <w:rPr>
          <w:sz w:val="24"/>
          <w:szCs w:val="24"/>
        </w:rPr>
      </w:pPr>
      <w:r>
        <w:rPr>
          <w:sz w:val="24"/>
          <w:szCs w:val="24"/>
        </w:rPr>
        <w:t xml:space="preserve">Доработаны формы информационных карт открытого конкурса в электронной форме, конкурса с ограниченным участием в электронной форме, электронного аукциона. </w:t>
      </w:r>
    </w:p>
    <w:p w14:paraId="5265A192" w14:textId="77777777" w:rsidR="00EA17E0" w:rsidRPr="00EA17E0" w:rsidRDefault="00EA17E0" w:rsidP="00EA17E0">
      <w:pPr>
        <w:pStyle w:val="a3"/>
        <w:spacing w:line="360" w:lineRule="auto"/>
        <w:ind w:left="644"/>
        <w:jc w:val="both"/>
        <w:rPr>
          <w:sz w:val="24"/>
          <w:szCs w:val="24"/>
        </w:rPr>
      </w:pPr>
      <w:r w:rsidRPr="00EA17E0">
        <w:rPr>
          <w:sz w:val="24"/>
          <w:szCs w:val="24"/>
        </w:rPr>
        <w:t>Внесены следующие изменения:</w:t>
      </w:r>
    </w:p>
    <w:p w14:paraId="2953953E" w14:textId="5E7FF736" w:rsidR="00EA17E0" w:rsidRPr="00EA17E0" w:rsidRDefault="00EA17E0" w:rsidP="00EA17E0">
      <w:pPr>
        <w:pStyle w:val="a3"/>
        <w:numPr>
          <w:ilvl w:val="0"/>
          <w:numId w:val="8"/>
        </w:numPr>
        <w:spacing w:after="0" w:line="360" w:lineRule="auto"/>
        <w:contextualSpacing w:val="0"/>
        <w:jc w:val="both"/>
        <w:rPr>
          <w:sz w:val="24"/>
          <w:szCs w:val="24"/>
        </w:rPr>
      </w:pPr>
      <w:r w:rsidRPr="00EA17E0">
        <w:rPr>
          <w:sz w:val="24"/>
          <w:szCs w:val="24"/>
        </w:rPr>
        <w:t>Раздел 5 п. 17</w:t>
      </w:r>
      <w:r>
        <w:rPr>
          <w:sz w:val="24"/>
          <w:szCs w:val="24"/>
        </w:rPr>
        <w:t>:</w:t>
      </w:r>
      <w:r w:rsidRPr="00EA17E0">
        <w:rPr>
          <w:sz w:val="24"/>
          <w:szCs w:val="24"/>
        </w:rPr>
        <w:t xml:space="preserve"> </w:t>
      </w:r>
      <w:r>
        <w:rPr>
          <w:sz w:val="24"/>
          <w:szCs w:val="24"/>
        </w:rPr>
        <w:t>и</w:t>
      </w:r>
      <w:r w:rsidRPr="00EA17E0">
        <w:rPr>
          <w:sz w:val="24"/>
          <w:szCs w:val="24"/>
        </w:rPr>
        <w:t xml:space="preserve">зменены условия отображения абзацев </w:t>
      </w:r>
    </w:p>
    <w:p w14:paraId="0691448B" w14:textId="0B32962B" w:rsidR="00EA17E0" w:rsidRPr="00EA17E0" w:rsidRDefault="00EA17E0" w:rsidP="00EA17E0">
      <w:pPr>
        <w:pStyle w:val="a3"/>
        <w:numPr>
          <w:ilvl w:val="0"/>
          <w:numId w:val="8"/>
        </w:numPr>
        <w:spacing w:after="0" w:line="360" w:lineRule="auto"/>
        <w:contextualSpacing w:val="0"/>
        <w:jc w:val="both"/>
        <w:rPr>
          <w:sz w:val="24"/>
          <w:szCs w:val="24"/>
        </w:rPr>
      </w:pPr>
      <w:r w:rsidRPr="00EA17E0">
        <w:rPr>
          <w:sz w:val="24"/>
          <w:szCs w:val="24"/>
        </w:rPr>
        <w:t>Раздел 5 п. 26</w:t>
      </w:r>
      <w:r>
        <w:rPr>
          <w:sz w:val="24"/>
          <w:szCs w:val="24"/>
        </w:rPr>
        <w:t>:</w:t>
      </w:r>
      <w:r w:rsidRPr="00EA17E0">
        <w:rPr>
          <w:sz w:val="24"/>
          <w:szCs w:val="24"/>
        </w:rPr>
        <w:t xml:space="preserve"> </w:t>
      </w:r>
      <w:r>
        <w:rPr>
          <w:sz w:val="24"/>
          <w:szCs w:val="24"/>
        </w:rPr>
        <w:t>и</w:t>
      </w:r>
      <w:r w:rsidRPr="00EA17E0">
        <w:rPr>
          <w:sz w:val="24"/>
          <w:szCs w:val="24"/>
        </w:rPr>
        <w:t xml:space="preserve">зменено </w:t>
      </w:r>
      <w:r>
        <w:rPr>
          <w:sz w:val="24"/>
          <w:szCs w:val="24"/>
        </w:rPr>
        <w:t xml:space="preserve">название и </w:t>
      </w:r>
      <w:r w:rsidRPr="00EA17E0">
        <w:rPr>
          <w:sz w:val="24"/>
          <w:szCs w:val="24"/>
        </w:rPr>
        <w:t>условие отображения пункта</w:t>
      </w:r>
    </w:p>
    <w:p w14:paraId="0DFF33E2" w14:textId="128B7CB9" w:rsidR="00EA17E0" w:rsidRPr="00EA17E0" w:rsidRDefault="00EA17E0" w:rsidP="00EA17E0">
      <w:pPr>
        <w:pStyle w:val="a3"/>
        <w:numPr>
          <w:ilvl w:val="0"/>
          <w:numId w:val="8"/>
        </w:numPr>
        <w:spacing w:after="0" w:line="360" w:lineRule="auto"/>
        <w:contextualSpacing w:val="0"/>
        <w:jc w:val="both"/>
        <w:rPr>
          <w:sz w:val="24"/>
          <w:szCs w:val="24"/>
        </w:rPr>
      </w:pPr>
      <w:r w:rsidRPr="00EA17E0">
        <w:rPr>
          <w:sz w:val="24"/>
          <w:szCs w:val="24"/>
        </w:rPr>
        <w:t>Раздел 8 п.3 (</w:t>
      </w:r>
      <w:r>
        <w:rPr>
          <w:sz w:val="24"/>
          <w:szCs w:val="24"/>
        </w:rPr>
        <w:t>электронный аукцион</w:t>
      </w:r>
      <w:r w:rsidRPr="00EA17E0">
        <w:rPr>
          <w:sz w:val="24"/>
          <w:szCs w:val="24"/>
        </w:rPr>
        <w:t>) и п.4 (</w:t>
      </w:r>
      <w:r>
        <w:rPr>
          <w:sz w:val="24"/>
          <w:szCs w:val="24"/>
        </w:rPr>
        <w:t>конкурс</w:t>
      </w:r>
      <w:r w:rsidRPr="00EA17E0">
        <w:rPr>
          <w:sz w:val="24"/>
          <w:szCs w:val="24"/>
        </w:rPr>
        <w:t>)</w:t>
      </w:r>
      <w:r>
        <w:rPr>
          <w:sz w:val="24"/>
          <w:szCs w:val="24"/>
        </w:rPr>
        <w:t>:</w:t>
      </w:r>
      <w:r w:rsidRPr="00EA17E0">
        <w:rPr>
          <w:sz w:val="24"/>
          <w:szCs w:val="24"/>
        </w:rPr>
        <w:t xml:space="preserve"> </w:t>
      </w:r>
      <w:r>
        <w:rPr>
          <w:sz w:val="24"/>
          <w:szCs w:val="24"/>
        </w:rPr>
        <w:t>и</w:t>
      </w:r>
      <w:r w:rsidRPr="00EA17E0">
        <w:rPr>
          <w:sz w:val="24"/>
          <w:szCs w:val="24"/>
        </w:rPr>
        <w:t xml:space="preserve">зменены условия </w:t>
      </w:r>
      <w:r>
        <w:rPr>
          <w:sz w:val="24"/>
          <w:szCs w:val="24"/>
        </w:rPr>
        <w:t xml:space="preserve">отображения </w:t>
      </w:r>
      <w:r w:rsidRPr="00EA17E0">
        <w:rPr>
          <w:sz w:val="24"/>
          <w:szCs w:val="24"/>
        </w:rPr>
        <w:t>и текст абзацев 5 и 6</w:t>
      </w:r>
      <w:r>
        <w:rPr>
          <w:sz w:val="24"/>
          <w:szCs w:val="24"/>
        </w:rPr>
        <w:t>.</w:t>
      </w:r>
    </w:p>
    <w:p w14:paraId="41A593C0" w14:textId="77777777" w:rsidR="00901372" w:rsidRDefault="00901372" w:rsidP="00E16FEB">
      <w:pPr>
        <w:pStyle w:val="a3"/>
        <w:spacing w:line="360" w:lineRule="auto"/>
        <w:contextualSpacing w:val="0"/>
        <w:jc w:val="center"/>
        <w:rPr>
          <w:b/>
          <w:bCs/>
          <w:sz w:val="24"/>
          <w:szCs w:val="24"/>
        </w:rPr>
      </w:pPr>
    </w:p>
    <w:p w14:paraId="533F70BB" w14:textId="027AF214" w:rsidR="00E16FEB" w:rsidRPr="00920FBD" w:rsidRDefault="00E16FEB" w:rsidP="00901372">
      <w:pPr>
        <w:pStyle w:val="a3"/>
        <w:keepNext/>
        <w:spacing w:line="360" w:lineRule="auto"/>
        <w:contextualSpacing w:val="0"/>
        <w:jc w:val="center"/>
        <w:rPr>
          <w:b/>
          <w:bCs/>
          <w:sz w:val="24"/>
          <w:szCs w:val="24"/>
        </w:rPr>
      </w:pPr>
      <w:r w:rsidRPr="00920FBD">
        <w:rPr>
          <w:b/>
          <w:bCs/>
          <w:sz w:val="24"/>
          <w:szCs w:val="24"/>
        </w:rPr>
        <w:t>Подсистема «</w:t>
      </w:r>
      <w:r w:rsidR="007878E1">
        <w:rPr>
          <w:b/>
          <w:bCs/>
          <w:sz w:val="24"/>
          <w:szCs w:val="24"/>
        </w:rPr>
        <w:t>Контракты</w:t>
      </w:r>
      <w:r w:rsidRPr="00920FBD">
        <w:rPr>
          <w:b/>
          <w:bCs/>
          <w:sz w:val="24"/>
          <w:szCs w:val="24"/>
        </w:rPr>
        <w:t>»</w:t>
      </w:r>
    </w:p>
    <w:p w14:paraId="3CF4CC1A" w14:textId="2203D9F6" w:rsidR="00791B6A" w:rsidRDefault="00791B6A" w:rsidP="00791B6A">
      <w:pPr>
        <w:pStyle w:val="a3"/>
        <w:numPr>
          <w:ilvl w:val="0"/>
          <w:numId w:val="2"/>
        </w:numPr>
        <w:spacing w:line="360" w:lineRule="auto"/>
        <w:contextualSpacing w:val="0"/>
        <w:jc w:val="both"/>
        <w:rPr>
          <w:sz w:val="24"/>
          <w:szCs w:val="24"/>
        </w:rPr>
      </w:pPr>
      <w:r>
        <w:rPr>
          <w:sz w:val="24"/>
          <w:szCs w:val="24"/>
        </w:rPr>
        <w:t>Реализован</w:t>
      </w:r>
      <w:r w:rsidR="00E83001">
        <w:rPr>
          <w:sz w:val="24"/>
          <w:szCs w:val="24"/>
        </w:rPr>
        <w:t xml:space="preserve">а возможность повторной отправки сведений о расторжении контракта в систему «АЦК-Финансы», если при первой автоматической отправке была получена ошибка. В карточке контракта в статусе «Расторгнут» доступна кнопка «Переотправить сведения о расторжении». </w:t>
      </w:r>
    </w:p>
    <w:p w14:paraId="2F391C06" w14:textId="5D1D4B4C" w:rsidR="00791B6A" w:rsidRPr="00791B6A" w:rsidRDefault="00791B6A" w:rsidP="00791B6A">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в </w:t>
      </w:r>
      <w:r w:rsidR="006D533A">
        <w:rPr>
          <w:i/>
          <w:iCs/>
          <w:sz w:val="24"/>
          <w:szCs w:val="24"/>
        </w:rPr>
        <w:t>п.5.24.1</w:t>
      </w:r>
      <w:r w:rsidR="002B4F85">
        <w:rPr>
          <w:i/>
          <w:iCs/>
          <w:sz w:val="24"/>
          <w:szCs w:val="24"/>
        </w:rPr>
        <w:t xml:space="preserve"> </w:t>
      </w:r>
      <w:r w:rsidRPr="00D82E23">
        <w:rPr>
          <w:i/>
          <w:iCs/>
          <w:sz w:val="24"/>
          <w:szCs w:val="24"/>
        </w:rPr>
        <w:t>инструкции</w:t>
      </w:r>
      <w:r w:rsidRPr="004576BA">
        <w:rPr>
          <w:i/>
          <w:iCs/>
          <w:sz w:val="24"/>
          <w:szCs w:val="24"/>
        </w:rPr>
        <w:t xml:space="preserve"> </w:t>
      </w:r>
      <w:r>
        <w:rPr>
          <w:i/>
          <w:iCs/>
          <w:sz w:val="24"/>
          <w:szCs w:val="24"/>
        </w:rPr>
        <w:t>по подсистеме «Контракты»</w:t>
      </w:r>
      <w:r w:rsidRPr="004576BA">
        <w:rPr>
          <w:i/>
          <w:iCs/>
          <w:sz w:val="24"/>
          <w:szCs w:val="24"/>
        </w:rPr>
        <w:t xml:space="preserve"> от </w:t>
      </w:r>
      <w:r>
        <w:rPr>
          <w:i/>
          <w:iCs/>
          <w:sz w:val="24"/>
          <w:szCs w:val="24"/>
        </w:rPr>
        <w:t>2</w:t>
      </w:r>
      <w:r w:rsidR="00E83001">
        <w:rPr>
          <w:i/>
          <w:iCs/>
          <w:sz w:val="24"/>
          <w:szCs w:val="24"/>
        </w:rPr>
        <w:t>5</w:t>
      </w:r>
      <w:r w:rsidRPr="004576BA">
        <w:rPr>
          <w:i/>
          <w:iCs/>
          <w:sz w:val="24"/>
          <w:szCs w:val="24"/>
        </w:rPr>
        <w:t>.0</w:t>
      </w:r>
      <w:r w:rsidR="00E83001">
        <w:rPr>
          <w:i/>
          <w:iCs/>
          <w:sz w:val="24"/>
          <w:szCs w:val="24"/>
        </w:rPr>
        <w:t>6</w:t>
      </w:r>
      <w:r w:rsidRPr="004576BA">
        <w:rPr>
          <w:i/>
          <w:iCs/>
          <w:sz w:val="24"/>
          <w:szCs w:val="24"/>
        </w:rPr>
        <w:t xml:space="preserve">.2020 г. </w:t>
      </w:r>
    </w:p>
    <w:p w14:paraId="036A8961" w14:textId="47DE9387" w:rsidR="00791B6A" w:rsidRDefault="00E83001" w:rsidP="00E83001">
      <w:pPr>
        <w:pStyle w:val="a3"/>
        <w:numPr>
          <w:ilvl w:val="0"/>
          <w:numId w:val="2"/>
        </w:numPr>
        <w:spacing w:line="360" w:lineRule="auto"/>
        <w:contextualSpacing w:val="0"/>
        <w:jc w:val="both"/>
        <w:rPr>
          <w:sz w:val="24"/>
          <w:szCs w:val="24"/>
        </w:rPr>
      </w:pPr>
      <w:r>
        <w:rPr>
          <w:sz w:val="24"/>
          <w:szCs w:val="24"/>
        </w:rPr>
        <w:t xml:space="preserve">Реализована автоматическая отправка уведомлений пользователям при получении из ЕИС УФХД ПК данных об исполнении контракта. </w:t>
      </w:r>
      <w:r w:rsidR="00816322">
        <w:rPr>
          <w:sz w:val="24"/>
          <w:szCs w:val="24"/>
        </w:rPr>
        <w:t xml:space="preserve">В уведомления будут включены контракты, по которым сведения об исполнении из ЕИС УФХД ПК находятся в статусе «Новое». Уведомление будет отправлено всем пользователям </w:t>
      </w:r>
      <w:r>
        <w:rPr>
          <w:sz w:val="24"/>
          <w:szCs w:val="24"/>
        </w:rPr>
        <w:t xml:space="preserve">организации, имеющим роли «Ответственный специалист ГЗ» и «Руководитель ГЗ». </w:t>
      </w:r>
    </w:p>
    <w:p w14:paraId="1FE42C3A" w14:textId="7C8615A6" w:rsidR="00BB4816" w:rsidRPr="00791B6A" w:rsidRDefault="00BB4816" w:rsidP="00BB4816">
      <w:pPr>
        <w:pStyle w:val="a3"/>
        <w:spacing w:line="360" w:lineRule="auto"/>
        <w:contextualSpacing w:val="0"/>
        <w:jc w:val="both"/>
        <w:rPr>
          <w:i/>
          <w:iCs/>
          <w:sz w:val="24"/>
          <w:szCs w:val="24"/>
        </w:rPr>
      </w:pPr>
      <w:r w:rsidRPr="004576BA">
        <w:rPr>
          <w:i/>
          <w:iCs/>
          <w:sz w:val="24"/>
          <w:szCs w:val="24"/>
        </w:rPr>
        <w:lastRenderedPageBreak/>
        <w:t xml:space="preserve">Более подробно изменения </w:t>
      </w:r>
      <w:r w:rsidRPr="00D82E23">
        <w:rPr>
          <w:i/>
          <w:iCs/>
          <w:sz w:val="24"/>
          <w:szCs w:val="24"/>
        </w:rPr>
        <w:t xml:space="preserve">описаны в </w:t>
      </w:r>
      <w:r w:rsidR="00161FCE">
        <w:rPr>
          <w:i/>
          <w:iCs/>
          <w:sz w:val="24"/>
          <w:szCs w:val="24"/>
        </w:rPr>
        <w:t>п.5.22.1</w:t>
      </w:r>
      <w:r>
        <w:rPr>
          <w:i/>
          <w:iCs/>
          <w:sz w:val="24"/>
          <w:szCs w:val="24"/>
        </w:rPr>
        <w:t xml:space="preserve"> </w:t>
      </w:r>
      <w:r w:rsidRPr="00D82E23">
        <w:rPr>
          <w:i/>
          <w:iCs/>
          <w:sz w:val="24"/>
          <w:szCs w:val="24"/>
        </w:rPr>
        <w:t>инструкции</w:t>
      </w:r>
      <w:r w:rsidRPr="004576BA">
        <w:rPr>
          <w:i/>
          <w:iCs/>
          <w:sz w:val="24"/>
          <w:szCs w:val="24"/>
        </w:rPr>
        <w:t xml:space="preserve"> </w:t>
      </w:r>
      <w:r>
        <w:rPr>
          <w:i/>
          <w:iCs/>
          <w:sz w:val="24"/>
          <w:szCs w:val="24"/>
        </w:rPr>
        <w:t>по подсистеме «Контракты»</w:t>
      </w:r>
      <w:r w:rsidRPr="004576BA">
        <w:rPr>
          <w:i/>
          <w:iCs/>
          <w:sz w:val="24"/>
          <w:szCs w:val="24"/>
        </w:rPr>
        <w:t xml:space="preserve"> от </w:t>
      </w:r>
      <w:r>
        <w:rPr>
          <w:i/>
          <w:iCs/>
          <w:sz w:val="24"/>
          <w:szCs w:val="24"/>
        </w:rPr>
        <w:t>25</w:t>
      </w:r>
      <w:r w:rsidRPr="004576BA">
        <w:rPr>
          <w:i/>
          <w:iCs/>
          <w:sz w:val="24"/>
          <w:szCs w:val="24"/>
        </w:rPr>
        <w:t>.0</w:t>
      </w:r>
      <w:r>
        <w:rPr>
          <w:i/>
          <w:iCs/>
          <w:sz w:val="24"/>
          <w:szCs w:val="24"/>
        </w:rPr>
        <w:t>6</w:t>
      </w:r>
      <w:r w:rsidRPr="004576BA">
        <w:rPr>
          <w:i/>
          <w:iCs/>
          <w:sz w:val="24"/>
          <w:szCs w:val="24"/>
        </w:rPr>
        <w:t xml:space="preserve">.2020 г. </w:t>
      </w:r>
    </w:p>
    <w:p w14:paraId="11986EED" w14:textId="6D468DFC" w:rsidR="00BB4816" w:rsidRDefault="00BB4816" w:rsidP="00BB4816">
      <w:pPr>
        <w:pStyle w:val="a3"/>
        <w:numPr>
          <w:ilvl w:val="0"/>
          <w:numId w:val="2"/>
        </w:numPr>
        <w:spacing w:line="360" w:lineRule="auto"/>
        <w:contextualSpacing w:val="0"/>
        <w:jc w:val="both"/>
        <w:rPr>
          <w:sz w:val="24"/>
          <w:szCs w:val="24"/>
        </w:rPr>
      </w:pPr>
      <w:r>
        <w:rPr>
          <w:sz w:val="24"/>
          <w:szCs w:val="24"/>
        </w:rPr>
        <w:t xml:space="preserve">В списке контрактов реализована индикация контрактов, по которым получены сведения об исполнении из ЕИС УФХД ПК в статусе «Новое». </w:t>
      </w:r>
    </w:p>
    <w:p w14:paraId="61622E17" w14:textId="3EF97C6A" w:rsidR="00BB4816" w:rsidRPr="00791B6A" w:rsidRDefault="00BB4816" w:rsidP="00BB4816">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в </w:t>
      </w:r>
      <w:r w:rsidR="00161FCE">
        <w:rPr>
          <w:i/>
          <w:iCs/>
          <w:sz w:val="24"/>
          <w:szCs w:val="24"/>
        </w:rPr>
        <w:t xml:space="preserve">п.4.1 </w:t>
      </w:r>
      <w:r w:rsidRPr="00D82E23">
        <w:rPr>
          <w:i/>
          <w:iCs/>
          <w:sz w:val="24"/>
          <w:szCs w:val="24"/>
        </w:rPr>
        <w:t>инструкции</w:t>
      </w:r>
      <w:r w:rsidRPr="004576BA">
        <w:rPr>
          <w:i/>
          <w:iCs/>
          <w:sz w:val="24"/>
          <w:szCs w:val="24"/>
        </w:rPr>
        <w:t xml:space="preserve"> </w:t>
      </w:r>
      <w:r>
        <w:rPr>
          <w:i/>
          <w:iCs/>
          <w:sz w:val="24"/>
          <w:szCs w:val="24"/>
        </w:rPr>
        <w:t>по подсистеме «Контракты»</w:t>
      </w:r>
      <w:r w:rsidRPr="004576BA">
        <w:rPr>
          <w:i/>
          <w:iCs/>
          <w:sz w:val="24"/>
          <w:szCs w:val="24"/>
        </w:rPr>
        <w:t xml:space="preserve"> от </w:t>
      </w:r>
      <w:r>
        <w:rPr>
          <w:i/>
          <w:iCs/>
          <w:sz w:val="24"/>
          <w:szCs w:val="24"/>
        </w:rPr>
        <w:t>25</w:t>
      </w:r>
      <w:r w:rsidRPr="004576BA">
        <w:rPr>
          <w:i/>
          <w:iCs/>
          <w:sz w:val="24"/>
          <w:szCs w:val="24"/>
        </w:rPr>
        <w:t>.0</w:t>
      </w:r>
      <w:r>
        <w:rPr>
          <w:i/>
          <w:iCs/>
          <w:sz w:val="24"/>
          <w:szCs w:val="24"/>
        </w:rPr>
        <w:t>6</w:t>
      </w:r>
      <w:r w:rsidRPr="004576BA">
        <w:rPr>
          <w:i/>
          <w:iCs/>
          <w:sz w:val="24"/>
          <w:szCs w:val="24"/>
        </w:rPr>
        <w:t xml:space="preserve">.2020 г. </w:t>
      </w:r>
    </w:p>
    <w:p w14:paraId="46C1EC0B" w14:textId="77777777" w:rsidR="00BB4816" w:rsidRPr="00791B6A" w:rsidRDefault="00BB4816" w:rsidP="00BB4816">
      <w:pPr>
        <w:pStyle w:val="a3"/>
        <w:spacing w:line="360" w:lineRule="auto"/>
        <w:contextualSpacing w:val="0"/>
        <w:jc w:val="both"/>
        <w:rPr>
          <w:sz w:val="24"/>
          <w:szCs w:val="24"/>
        </w:rPr>
      </w:pPr>
    </w:p>
    <w:p w14:paraId="74AA3EC2" w14:textId="77777777" w:rsidR="00E80CE7" w:rsidRDefault="0079655C" w:rsidP="00E80CE7">
      <w:pPr>
        <w:pStyle w:val="a3"/>
        <w:spacing w:line="360" w:lineRule="auto"/>
        <w:contextualSpacing w:val="0"/>
        <w:jc w:val="center"/>
        <w:rPr>
          <w:b/>
          <w:bCs/>
          <w:sz w:val="24"/>
          <w:szCs w:val="24"/>
        </w:rPr>
      </w:pPr>
      <w:r>
        <w:rPr>
          <w:b/>
          <w:bCs/>
          <w:sz w:val="24"/>
          <w:szCs w:val="24"/>
        </w:rPr>
        <w:t xml:space="preserve">АРМ </w:t>
      </w:r>
      <w:r w:rsidR="00E80CE7">
        <w:rPr>
          <w:b/>
          <w:bCs/>
          <w:sz w:val="24"/>
          <w:szCs w:val="24"/>
        </w:rPr>
        <w:t xml:space="preserve">Контрольно-ревизионного управления </w:t>
      </w:r>
    </w:p>
    <w:p w14:paraId="655608A9" w14:textId="2BA96CE4" w:rsidR="00395E33" w:rsidRDefault="0079655C" w:rsidP="00E80CE7">
      <w:pPr>
        <w:pStyle w:val="a3"/>
        <w:numPr>
          <w:ilvl w:val="0"/>
          <w:numId w:val="2"/>
        </w:numPr>
        <w:spacing w:line="360" w:lineRule="auto"/>
        <w:contextualSpacing w:val="0"/>
        <w:jc w:val="both"/>
        <w:rPr>
          <w:sz w:val="24"/>
          <w:szCs w:val="24"/>
        </w:rPr>
      </w:pPr>
      <w:r>
        <w:rPr>
          <w:sz w:val="24"/>
          <w:szCs w:val="24"/>
        </w:rPr>
        <w:t xml:space="preserve">В </w:t>
      </w:r>
      <w:r w:rsidR="00E80CE7">
        <w:rPr>
          <w:sz w:val="24"/>
          <w:szCs w:val="24"/>
        </w:rPr>
        <w:t>списках уведомлений реализовано отображение итоговой строки, в которой отображается общая сумма контрактов, по которым направлено уведомление, с учетом установленных в списке фильтров.</w:t>
      </w:r>
    </w:p>
    <w:p w14:paraId="34962995" w14:textId="163ED1B4" w:rsidR="00E80CE7" w:rsidRPr="00D45D66" w:rsidRDefault="00DB65E3" w:rsidP="00D45D66">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в </w:t>
      </w:r>
      <w:r w:rsidRPr="00DB65E3">
        <w:rPr>
          <w:i/>
          <w:iCs/>
          <w:sz w:val="24"/>
          <w:szCs w:val="24"/>
        </w:rPr>
        <w:t>п. 4</w:t>
      </w:r>
      <w:r>
        <w:rPr>
          <w:i/>
          <w:iCs/>
          <w:sz w:val="24"/>
          <w:szCs w:val="24"/>
        </w:rPr>
        <w:t xml:space="preserve"> </w:t>
      </w:r>
      <w:r w:rsidRPr="00D82E23">
        <w:rPr>
          <w:i/>
          <w:iCs/>
          <w:sz w:val="24"/>
          <w:szCs w:val="24"/>
        </w:rPr>
        <w:t>инструкции</w:t>
      </w:r>
      <w:r w:rsidRPr="004576BA">
        <w:rPr>
          <w:i/>
          <w:iCs/>
          <w:sz w:val="24"/>
          <w:szCs w:val="24"/>
        </w:rPr>
        <w:t xml:space="preserve"> </w:t>
      </w:r>
      <w:r>
        <w:rPr>
          <w:i/>
          <w:iCs/>
          <w:sz w:val="24"/>
          <w:szCs w:val="24"/>
        </w:rPr>
        <w:t>по АРМ КРУ</w:t>
      </w:r>
      <w:r w:rsidRPr="004576BA">
        <w:rPr>
          <w:i/>
          <w:iCs/>
          <w:sz w:val="24"/>
          <w:szCs w:val="24"/>
        </w:rPr>
        <w:t xml:space="preserve"> от </w:t>
      </w:r>
      <w:r>
        <w:rPr>
          <w:i/>
          <w:iCs/>
          <w:sz w:val="24"/>
          <w:szCs w:val="24"/>
        </w:rPr>
        <w:t>25</w:t>
      </w:r>
      <w:r w:rsidRPr="004576BA">
        <w:rPr>
          <w:i/>
          <w:iCs/>
          <w:sz w:val="24"/>
          <w:szCs w:val="24"/>
        </w:rPr>
        <w:t>.0</w:t>
      </w:r>
      <w:r>
        <w:rPr>
          <w:i/>
          <w:iCs/>
          <w:sz w:val="24"/>
          <w:szCs w:val="24"/>
        </w:rPr>
        <w:t>6</w:t>
      </w:r>
      <w:r w:rsidRPr="004576BA">
        <w:rPr>
          <w:i/>
          <w:iCs/>
          <w:sz w:val="24"/>
          <w:szCs w:val="24"/>
        </w:rPr>
        <w:t xml:space="preserve">.2020 г. </w:t>
      </w:r>
    </w:p>
    <w:p w14:paraId="76A84080" w14:textId="77777777" w:rsidR="004E2D06" w:rsidRPr="0005271E" w:rsidRDefault="004E2D06" w:rsidP="0005271E">
      <w:pPr>
        <w:spacing w:line="360" w:lineRule="auto"/>
        <w:jc w:val="both"/>
        <w:rPr>
          <w:sz w:val="24"/>
          <w:szCs w:val="24"/>
        </w:rPr>
      </w:pPr>
    </w:p>
    <w:p w14:paraId="3A7C1641" w14:textId="5EB8A044" w:rsidR="0079655C" w:rsidRPr="00395E33" w:rsidRDefault="00395E33" w:rsidP="00395E33">
      <w:pPr>
        <w:pStyle w:val="a3"/>
        <w:spacing w:line="360" w:lineRule="auto"/>
        <w:contextualSpacing w:val="0"/>
        <w:jc w:val="center"/>
        <w:rPr>
          <w:b/>
          <w:bCs/>
          <w:sz w:val="24"/>
          <w:szCs w:val="24"/>
        </w:rPr>
      </w:pPr>
      <w:r w:rsidRPr="00395E33">
        <w:rPr>
          <w:b/>
          <w:bCs/>
          <w:sz w:val="24"/>
          <w:szCs w:val="24"/>
        </w:rPr>
        <w:t>АРМ Минзакупок</w:t>
      </w:r>
      <w:r>
        <w:rPr>
          <w:b/>
          <w:bCs/>
          <w:sz w:val="24"/>
          <w:szCs w:val="24"/>
        </w:rPr>
        <w:t xml:space="preserve"> </w:t>
      </w:r>
    </w:p>
    <w:p w14:paraId="4B8A470F" w14:textId="5856DBF7" w:rsidR="00395E33" w:rsidRDefault="00064D1D" w:rsidP="00395E33">
      <w:pPr>
        <w:pStyle w:val="a3"/>
        <w:numPr>
          <w:ilvl w:val="0"/>
          <w:numId w:val="2"/>
        </w:numPr>
        <w:spacing w:line="360" w:lineRule="auto"/>
        <w:contextualSpacing w:val="0"/>
        <w:jc w:val="both"/>
        <w:rPr>
          <w:sz w:val="24"/>
          <w:szCs w:val="24"/>
        </w:rPr>
      </w:pPr>
      <w:r>
        <w:rPr>
          <w:sz w:val="24"/>
          <w:szCs w:val="24"/>
        </w:rPr>
        <w:t>В разделе «Настройки централизации» р</w:t>
      </w:r>
      <w:r w:rsidR="00395E33">
        <w:rPr>
          <w:sz w:val="24"/>
          <w:szCs w:val="24"/>
        </w:rPr>
        <w:t>еализован</w:t>
      </w:r>
      <w:r w:rsidR="00DA348C">
        <w:rPr>
          <w:sz w:val="24"/>
          <w:szCs w:val="24"/>
        </w:rPr>
        <w:t xml:space="preserve"> новый </w:t>
      </w:r>
      <w:r>
        <w:rPr>
          <w:sz w:val="24"/>
          <w:szCs w:val="24"/>
        </w:rPr>
        <w:t>под</w:t>
      </w:r>
      <w:r w:rsidR="00DA348C">
        <w:rPr>
          <w:sz w:val="24"/>
          <w:szCs w:val="24"/>
        </w:rPr>
        <w:t>раздел «Настройки ограничения по объему ф</w:t>
      </w:r>
      <w:r>
        <w:rPr>
          <w:sz w:val="24"/>
          <w:szCs w:val="24"/>
        </w:rPr>
        <w:t>и</w:t>
      </w:r>
      <w:r w:rsidR="00DA348C">
        <w:rPr>
          <w:sz w:val="24"/>
          <w:szCs w:val="24"/>
        </w:rPr>
        <w:t>нансирования»</w:t>
      </w:r>
      <w:r>
        <w:rPr>
          <w:sz w:val="24"/>
          <w:szCs w:val="24"/>
        </w:rPr>
        <w:t xml:space="preserve"> для возможности задания диапазона финансового обеспечения позиции плана-графика, при котором необходимо предупреждать заказчика и ГРБС о необходимости централизованной закупки. </w:t>
      </w:r>
      <w:r w:rsidR="00395E33">
        <w:rPr>
          <w:sz w:val="24"/>
          <w:szCs w:val="24"/>
        </w:rPr>
        <w:t xml:space="preserve"> </w:t>
      </w:r>
    </w:p>
    <w:p w14:paraId="40BC3EFE" w14:textId="72A90BF4" w:rsidR="00395E33" w:rsidRDefault="00064D1D" w:rsidP="001402A1">
      <w:pPr>
        <w:pStyle w:val="a3"/>
        <w:spacing w:line="360" w:lineRule="auto"/>
        <w:contextualSpacing w:val="0"/>
        <w:jc w:val="both"/>
        <w:rPr>
          <w:i/>
          <w:iCs/>
          <w:sz w:val="24"/>
          <w:szCs w:val="24"/>
        </w:rPr>
      </w:pPr>
      <w:r>
        <w:rPr>
          <w:i/>
          <w:iCs/>
          <w:sz w:val="24"/>
          <w:szCs w:val="24"/>
        </w:rPr>
        <w:t xml:space="preserve">Работа с разделом описана в инструкции по </w:t>
      </w:r>
      <w:r w:rsidR="005C43F2">
        <w:rPr>
          <w:i/>
          <w:iCs/>
          <w:sz w:val="24"/>
          <w:szCs w:val="24"/>
        </w:rPr>
        <w:t xml:space="preserve">работе с разделом «Настройки централизации» </w:t>
      </w:r>
      <w:r>
        <w:rPr>
          <w:i/>
          <w:iCs/>
          <w:sz w:val="24"/>
          <w:szCs w:val="24"/>
        </w:rPr>
        <w:t>от 25.06.2020</w:t>
      </w:r>
      <w:r w:rsidR="00395E33" w:rsidRPr="004576BA">
        <w:rPr>
          <w:i/>
          <w:iCs/>
          <w:sz w:val="24"/>
          <w:szCs w:val="24"/>
        </w:rPr>
        <w:t xml:space="preserve"> г. </w:t>
      </w:r>
    </w:p>
    <w:p w14:paraId="28290508" w14:textId="77777777" w:rsidR="001402A1" w:rsidRPr="001402A1" w:rsidRDefault="001402A1" w:rsidP="001402A1">
      <w:pPr>
        <w:pStyle w:val="a3"/>
        <w:spacing w:line="360" w:lineRule="auto"/>
        <w:contextualSpacing w:val="0"/>
        <w:jc w:val="both"/>
        <w:rPr>
          <w:i/>
          <w:iCs/>
          <w:sz w:val="24"/>
          <w:szCs w:val="24"/>
        </w:rPr>
      </w:pPr>
    </w:p>
    <w:p w14:paraId="483767A3" w14:textId="185F27C8" w:rsidR="005234BC" w:rsidRDefault="005234BC" w:rsidP="005234BC">
      <w:pPr>
        <w:pStyle w:val="a3"/>
        <w:spacing w:line="360" w:lineRule="auto"/>
        <w:contextualSpacing w:val="0"/>
        <w:jc w:val="center"/>
        <w:rPr>
          <w:b/>
          <w:bCs/>
          <w:sz w:val="24"/>
          <w:szCs w:val="24"/>
        </w:rPr>
      </w:pPr>
      <w:r w:rsidRPr="00DA33AF">
        <w:rPr>
          <w:b/>
          <w:bCs/>
          <w:sz w:val="24"/>
          <w:szCs w:val="24"/>
        </w:rPr>
        <w:t>Подсистема «</w:t>
      </w:r>
      <w:r>
        <w:rPr>
          <w:b/>
          <w:bCs/>
          <w:sz w:val="24"/>
          <w:szCs w:val="24"/>
        </w:rPr>
        <w:t>НСИ</w:t>
      </w:r>
      <w:r w:rsidRPr="00DA33AF">
        <w:rPr>
          <w:b/>
          <w:bCs/>
          <w:sz w:val="24"/>
          <w:szCs w:val="24"/>
        </w:rPr>
        <w:t>»</w:t>
      </w:r>
    </w:p>
    <w:p w14:paraId="38801F37" w14:textId="14514C79" w:rsidR="004013D6" w:rsidRDefault="000B6574" w:rsidP="00422E9B">
      <w:pPr>
        <w:pStyle w:val="a3"/>
        <w:numPr>
          <w:ilvl w:val="0"/>
          <w:numId w:val="2"/>
        </w:numPr>
        <w:spacing w:after="0" w:line="360" w:lineRule="auto"/>
        <w:ind w:left="714" w:hanging="357"/>
        <w:contextualSpacing w:val="0"/>
        <w:jc w:val="both"/>
        <w:rPr>
          <w:sz w:val="24"/>
          <w:szCs w:val="24"/>
        </w:rPr>
      </w:pPr>
      <w:r>
        <w:rPr>
          <w:sz w:val="24"/>
          <w:szCs w:val="24"/>
        </w:rPr>
        <w:t xml:space="preserve">В справочнике СПГЗ реализована возможность расширенного поиска позиций по столбцам «Наименование СПГЗ», «КПГЗ», «ОКПД-2». При выборе расширенного поиска поиск осуществляется не по полному совпадению (стандартный поиск по столбцу), а по принципу частичного совпадения и наличия однокоренных слов. </w:t>
      </w:r>
    </w:p>
    <w:p w14:paraId="0DEF6CDE" w14:textId="62DDCF92" w:rsidR="000B6574" w:rsidRDefault="000B6574" w:rsidP="000B6574">
      <w:pPr>
        <w:pStyle w:val="a3"/>
        <w:spacing w:after="0" w:line="360" w:lineRule="auto"/>
        <w:ind w:left="714"/>
        <w:contextualSpacing w:val="0"/>
        <w:jc w:val="center"/>
        <w:rPr>
          <w:sz w:val="24"/>
          <w:szCs w:val="24"/>
        </w:rPr>
      </w:pPr>
      <w:r>
        <w:rPr>
          <w:noProof/>
          <w:sz w:val="24"/>
          <w:szCs w:val="24"/>
          <w:lang w:eastAsia="ru-RU"/>
        </w:rPr>
        <w:lastRenderedPageBreak/>
        <w:drawing>
          <wp:inline distT="0" distB="0" distL="0" distR="0" wp14:anchorId="2659B8D3" wp14:editId="6B9DBCEF">
            <wp:extent cx="4396281" cy="2314575"/>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9793" cy="2321689"/>
                    </a:xfrm>
                    <a:prstGeom prst="rect">
                      <a:avLst/>
                    </a:prstGeom>
                    <a:noFill/>
                    <a:ln>
                      <a:noFill/>
                    </a:ln>
                  </pic:spPr>
                </pic:pic>
              </a:graphicData>
            </a:graphic>
          </wp:inline>
        </w:drawing>
      </w:r>
    </w:p>
    <w:p w14:paraId="231D95CC" w14:textId="210ECCAA" w:rsidR="009A181A" w:rsidRDefault="00791B6A" w:rsidP="00422E9B">
      <w:pPr>
        <w:pStyle w:val="a3"/>
        <w:numPr>
          <w:ilvl w:val="0"/>
          <w:numId w:val="2"/>
        </w:numPr>
        <w:spacing w:after="0" w:line="360" w:lineRule="auto"/>
        <w:ind w:left="714" w:hanging="357"/>
        <w:contextualSpacing w:val="0"/>
        <w:jc w:val="both"/>
        <w:rPr>
          <w:sz w:val="24"/>
          <w:szCs w:val="24"/>
        </w:rPr>
      </w:pPr>
      <w:r>
        <w:rPr>
          <w:sz w:val="24"/>
          <w:szCs w:val="24"/>
        </w:rPr>
        <w:t xml:space="preserve">В карточку организации в справочнике «Заказчики» </w:t>
      </w:r>
      <w:r w:rsidR="00422E9B">
        <w:rPr>
          <w:sz w:val="24"/>
          <w:szCs w:val="24"/>
        </w:rPr>
        <w:t>в блок «Признаки организации»</w:t>
      </w:r>
      <w:r w:rsidR="000B6574">
        <w:rPr>
          <w:sz w:val="24"/>
          <w:szCs w:val="24"/>
        </w:rPr>
        <w:t xml:space="preserve"> добавлено новое поле «Необх</w:t>
      </w:r>
      <w:r w:rsidR="00D13BFC">
        <w:rPr>
          <w:sz w:val="24"/>
          <w:szCs w:val="24"/>
        </w:rPr>
        <w:t>одимость отправки в ОБ». Поле необходимо для настройки интеграции с ЕИС УФХД («Облачная бухгалтерия»</w:t>
      </w:r>
      <w:r w:rsidR="001043A1">
        <w:rPr>
          <w:sz w:val="24"/>
          <w:szCs w:val="24"/>
        </w:rPr>
        <w:t>)</w:t>
      </w:r>
      <w:r w:rsidR="00D13BFC">
        <w:rPr>
          <w:sz w:val="24"/>
          <w:szCs w:val="24"/>
        </w:rPr>
        <w:t xml:space="preserve">. </w:t>
      </w:r>
    </w:p>
    <w:p w14:paraId="404CA57A" w14:textId="14830235" w:rsidR="00791B6A" w:rsidRDefault="00422E9B" w:rsidP="001402A1">
      <w:pPr>
        <w:pStyle w:val="a3"/>
        <w:spacing w:line="360" w:lineRule="auto"/>
        <w:contextualSpacing w:val="0"/>
        <w:jc w:val="both"/>
        <w:rPr>
          <w:i/>
          <w:iCs/>
          <w:sz w:val="24"/>
          <w:szCs w:val="24"/>
        </w:rPr>
      </w:pPr>
      <w:r w:rsidRPr="001043A1">
        <w:rPr>
          <w:i/>
          <w:iCs/>
          <w:sz w:val="24"/>
          <w:szCs w:val="24"/>
        </w:rPr>
        <w:t>Более подробно изменения описаны в п.</w:t>
      </w:r>
      <w:r w:rsidR="00A11FFE" w:rsidRPr="001043A1">
        <w:t xml:space="preserve"> </w:t>
      </w:r>
      <w:r w:rsidR="00A11FFE" w:rsidRPr="001043A1">
        <w:rPr>
          <w:i/>
          <w:iCs/>
          <w:sz w:val="24"/>
          <w:szCs w:val="24"/>
        </w:rPr>
        <w:t>3.4.1.2.</w:t>
      </w:r>
      <w:r w:rsidR="001043A1" w:rsidRPr="001043A1">
        <w:rPr>
          <w:i/>
          <w:iCs/>
          <w:sz w:val="24"/>
          <w:szCs w:val="24"/>
        </w:rPr>
        <w:t>4</w:t>
      </w:r>
      <w:r w:rsidR="00DA348C" w:rsidRPr="001043A1">
        <w:rPr>
          <w:i/>
          <w:iCs/>
          <w:sz w:val="24"/>
          <w:szCs w:val="24"/>
        </w:rPr>
        <w:t xml:space="preserve"> </w:t>
      </w:r>
      <w:r w:rsidRPr="001043A1">
        <w:rPr>
          <w:i/>
          <w:iCs/>
          <w:sz w:val="24"/>
          <w:szCs w:val="24"/>
        </w:rPr>
        <w:t>инструкции Администратора НСИ от 2</w:t>
      </w:r>
      <w:r w:rsidR="00D13BFC" w:rsidRPr="001043A1">
        <w:rPr>
          <w:i/>
          <w:iCs/>
          <w:sz w:val="24"/>
          <w:szCs w:val="24"/>
        </w:rPr>
        <w:t>5</w:t>
      </w:r>
      <w:r w:rsidRPr="001043A1">
        <w:rPr>
          <w:i/>
          <w:iCs/>
          <w:sz w:val="24"/>
          <w:szCs w:val="24"/>
        </w:rPr>
        <w:t>.0</w:t>
      </w:r>
      <w:r w:rsidR="00D13BFC" w:rsidRPr="001043A1">
        <w:rPr>
          <w:i/>
          <w:iCs/>
          <w:sz w:val="24"/>
          <w:szCs w:val="24"/>
        </w:rPr>
        <w:t>6</w:t>
      </w:r>
      <w:r w:rsidRPr="001043A1">
        <w:rPr>
          <w:i/>
          <w:iCs/>
          <w:sz w:val="24"/>
          <w:szCs w:val="24"/>
        </w:rPr>
        <w:t>.2020 г.</w:t>
      </w:r>
    </w:p>
    <w:p w14:paraId="5CB4804A" w14:textId="77777777" w:rsidR="00490475" w:rsidRPr="001402A1" w:rsidRDefault="00490475" w:rsidP="001402A1">
      <w:pPr>
        <w:pStyle w:val="a3"/>
        <w:spacing w:line="360" w:lineRule="auto"/>
        <w:contextualSpacing w:val="0"/>
        <w:jc w:val="both"/>
        <w:rPr>
          <w:i/>
          <w:iCs/>
          <w:sz w:val="24"/>
          <w:szCs w:val="24"/>
        </w:rPr>
      </w:pPr>
    </w:p>
    <w:p w14:paraId="675DBA32" w14:textId="7B650E10" w:rsidR="001F086D" w:rsidRDefault="001F086D" w:rsidP="001F086D">
      <w:pPr>
        <w:pStyle w:val="a3"/>
        <w:spacing w:line="360" w:lineRule="auto"/>
        <w:contextualSpacing w:val="0"/>
        <w:jc w:val="center"/>
        <w:rPr>
          <w:b/>
          <w:bCs/>
          <w:sz w:val="24"/>
          <w:szCs w:val="24"/>
        </w:rPr>
      </w:pPr>
      <w:r>
        <w:rPr>
          <w:b/>
          <w:bCs/>
          <w:sz w:val="24"/>
          <w:szCs w:val="24"/>
        </w:rPr>
        <w:t>Подсистема «Библиотека типовой документации»</w:t>
      </w:r>
    </w:p>
    <w:p w14:paraId="0BF85722" w14:textId="695ADFB1" w:rsidR="005B165B" w:rsidRPr="00BB4816" w:rsidRDefault="00BB4816" w:rsidP="00BB4816">
      <w:pPr>
        <w:pStyle w:val="a3"/>
        <w:numPr>
          <w:ilvl w:val="0"/>
          <w:numId w:val="2"/>
        </w:numPr>
        <w:spacing w:after="120" w:line="360" w:lineRule="auto"/>
        <w:ind w:left="714" w:hanging="357"/>
        <w:contextualSpacing w:val="0"/>
        <w:jc w:val="both"/>
        <w:rPr>
          <w:i/>
          <w:iCs/>
          <w:sz w:val="24"/>
          <w:szCs w:val="24"/>
        </w:rPr>
      </w:pPr>
      <w:r>
        <w:rPr>
          <w:sz w:val="24"/>
          <w:szCs w:val="24"/>
        </w:rPr>
        <w:t>Добавлены теги:</w:t>
      </w:r>
    </w:p>
    <w:p w14:paraId="5E4488E7" w14:textId="5A96E037" w:rsidR="00BB4816" w:rsidRPr="00BB4816" w:rsidRDefault="00BB4816" w:rsidP="00BB4816">
      <w:pPr>
        <w:pStyle w:val="a3"/>
        <w:numPr>
          <w:ilvl w:val="0"/>
          <w:numId w:val="8"/>
        </w:numPr>
        <w:spacing w:after="0" w:line="360" w:lineRule="auto"/>
        <w:contextualSpacing w:val="0"/>
        <w:jc w:val="both"/>
        <w:rPr>
          <w:sz w:val="24"/>
          <w:szCs w:val="24"/>
        </w:rPr>
      </w:pPr>
      <w:r w:rsidRPr="00BB4816">
        <w:rPr>
          <w:sz w:val="24"/>
          <w:szCs w:val="24"/>
        </w:rPr>
        <w:t>Размер обеспечения гарантийных обязательств, %;</w:t>
      </w:r>
    </w:p>
    <w:p w14:paraId="3CEDD6AB" w14:textId="692496B0" w:rsidR="00BB4816" w:rsidRPr="00BB4816" w:rsidRDefault="00BB4816" w:rsidP="00BB4816">
      <w:pPr>
        <w:pStyle w:val="a3"/>
        <w:numPr>
          <w:ilvl w:val="0"/>
          <w:numId w:val="8"/>
        </w:numPr>
        <w:spacing w:after="0" w:line="360" w:lineRule="auto"/>
        <w:contextualSpacing w:val="0"/>
        <w:jc w:val="both"/>
        <w:rPr>
          <w:sz w:val="24"/>
          <w:szCs w:val="24"/>
        </w:rPr>
      </w:pPr>
      <w:r w:rsidRPr="00BB4816">
        <w:rPr>
          <w:sz w:val="24"/>
          <w:szCs w:val="24"/>
        </w:rPr>
        <w:t>Размер обеспечения гарантийных обязательств, руб.;</w:t>
      </w:r>
    </w:p>
    <w:p w14:paraId="3BB5CFAE" w14:textId="0C5BCC53" w:rsidR="00BB4816" w:rsidRPr="00BB4816" w:rsidRDefault="00BB4816" w:rsidP="00BB4816">
      <w:pPr>
        <w:pStyle w:val="a3"/>
        <w:numPr>
          <w:ilvl w:val="0"/>
          <w:numId w:val="8"/>
        </w:numPr>
        <w:spacing w:after="0" w:line="360" w:lineRule="auto"/>
        <w:contextualSpacing w:val="0"/>
        <w:jc w:val="both"/>
        <w:rPr>
          <w:sz w:val="24"/>
          <w:szCs w:val="24"/>
        </w:rPr>
      </w:pPr>
      <w:r w:rsidRPr="00BB4816">
        <w:rPr>
          <w:sz w:val="24"/>
          <w:szCs w:val="24"/>
        </w:rPr>
        <w:t>Срок гарантии;</w:t>
      </w:r>
    </w:p>
    <w:p w14:paraId="38BA4673" w14:textId="47D9907E" w:rsidR="00BB4816" w:rsidRPr="00BB4816" w:rsidRDefault="00BB4816" w:rsidP="00BB4816">
      <w:pPr>
        <w:pStyle w:val="a3"/>
        <w:numPr>
          <w:ilvl w:val="0"/>
          <w:numId w:val="8"/>
        </w:numPr>
        <w:spacing w:after="0" w:line="360" w:lineRule="auto"/>
        <w:contextualSpacing w:val="0"/>
        <w:jc w:val="both"/>
        <w:rPr>
          <w:sz w:val="24"/>
          <w:szCs w:val="24"/>
        </w:rPr>
      </w:pPr>
      <w:r w:rsidRPr="00BB4816">
        <w:rPr>
          <w:sz w:val="24"/>
          <w:szCs w:val="24"/>
        </w:rPr>
        <w:t>Размер привлечения субподрядчиков из числа СМП, %;</w:t>
      </w:r>
    </w:p>
    <w:p w14:paraId="2B322333" w14:textId="10B1AF04" w:rsidR="00D45D66" w:rsidRPr="00D45D66" w:rsidRDefault="00BB4816" w:rsidP="00D45D66">
      <w:pPr>
        <w:pStyle w:val="a3"/>
        <w:numPr>
          <w:ilvl w:val="0"/>
          <w:numId w:val="8"/>
        </w:numPr>
        <w:spacing w:after="0" w:line="360" w:lineRule="auto"/>
        <w:contextualSpacing w:val="0"/>
        <w:jc w:val="both"/>
        <w:rPr>
          <w:sz w:val="24"/>
          <w:szCs w:val="24"/>
        </w:rPr>
      </w:pPr>
      <w:r w:rsidRPr="00BB4816">
        <w:rPr>
          <w:sz w:val="24"/>
          <w:szCs w:val="24"/>
        </w:rPr>
        <w:t>Тип контракта.</w:t>
      </w:r>
    </w:p>
    <w:p w14:paraId="0B78404B" w14:textId="0F4C4F27" w:rsidR="00BB4816" w:rsidRPr="00BB4816" w:rsidRDefault="00BB4816" w:rsidP="005B165B">
      <w:pPr>
        <w:pStyle w:val="a3"/>
        <w:numPr>
          <w:ilvl w:val="0"/>
          <w:numId w:val="2"/>
        </w:numPr>
        <w:spacing w:line="360" w:lineRule="auto"/>
        <w:ind w:left="714" w:hanging="357"/>
        <w:contextualSpacing w:val="0"/>
        <w:jc w:val="both"/>
        <w:rPr>
          <w:i/>
          <w:iCs/>
          <w:sz w:val="24"/>
          <w:szCs w:val="24"/>
        </w:rPr>
      </w:pPr>
      <w:r>
        <w:rPr>
          <w:sz w:val="24"/>
          <w:szCs w:val="24"/>
        </w:rPr>
        <w:t>Добавлены параметры в условную область:</w:t>
      </w:r>
    </w:p>
    <w:p w14:paraId="7D854C81" w14:textId="67424445" w:rsidR="00BB4816" w:rsidRPr="00BB4816" w:rsidRDefault="00BB4816" w:rsidP="00BB4816">
      <w:pPr>
        <w:pStyle w:val="a3"/>
        <w:numPr>
          <w:ilvl w:val="0"/>
          <w:numId w:val="8"/>
        </w:numPr>
        <w:spacing w:after="0" w:line="360" w:lineRule="auto"/>
        <w:contextualSpacing w:val="0"/>
        <w:jc w:val="both"/>
        <w:rPr>
          <w:sz w:val="24"/>
          <w:szCs w:val="24"/>
        </w:rPr>
      </w:pPr>
      <w:r w:rsidRPr="00BB4816">
        <w:rPr>
          <w:sz w:val="24"/>
          <w:szCs w:val="24"/>
        </w:rPr>
        <w:t>Осуществляется казначейское сопровождение контракта;</w:t>
      </w:r>
    </w:p>
    <w:p w14:paraId="744205F2" w14:textId="5C3219A7" w:rsidR="00BB4816" w:rsidRPr="00BB4816" w:rsidRDefault="00BB4816" w:rsidP="00BB4816">
      <w:pPr>
        <w:pStyle w:val="a3"/>
        <w:numPr>
          <w:ilvl w:val="0"/>
          <w:numId w:val="8"/>
        </w:numPr>
        <w:spacing w:after="0" w:line="360" w:lineRule="auto"/>
        <w:contextualSpacing w:val="0"/>
        <w:jc w:val="both"/>
        <w:rPr>
          <w:sz w:val="24"/>
          <w:szCs w:val="24"/>
        </w:rPr>
      </w:pPr>
      <w:r w:rsidRPr="00BB4816">
        <w:rPr>
          <w:sz w:val="24"/>
          <w:szCs w:val="24"/>
        </w:rPr>
        <w:t>Установлено требование в соответствии с ПП РФ от 15.05.2017 № 570;</w:t>
      </w:r>
    </w:p>
    <w:p w14:paraId="6E981A33" w14:textId="6B9B1F32" w:rsidR="00BB4816" w:rsidRPr="00BB4816" w:rsidRDefault="00BB4816" w:rsidP="00BB4816">
      <w:pPr>
        <w:pStyle w:val="a3"/>
        <w:numPr>
          <w:ilvl w:val="0"/>
          <w:numId w:val="8"/>
        </w:numPr>
        <w:spacing w:after="0" w:line="360" w:lineRule="auto"/>
        <w:contextualSpacing w:val="0"/>
        <w:jc w:val="both"/>
        <w:rPr>
          <w:sz w:val="24"/>
          <w:szCs w:val="24"/>
        </w:rPr>
      </w:pPr>
      <w:r w:rsidRPr="00BB4816">
        <w:rPr>
          <w:sz w:val="24"/>
          <w:szCs w:val="24"/>
        </w:rPr>
        <w:t>Предусмотрена возможность изменения цены на 10 % по строительным работам;</w:t>
      </w:r>
    </w:p>
    <w:p w14:paraId="3908AF16" w14:textId="5981CB5E" w:rsidR="00BB4816" w:rsidRPr="00BB4816" w:rsidRDefault="00BB4816" w:rsidP="00BB4816">
      <w:pPr>
        <w:pStyle w:val="a3"/>
        <w:numPr>
          <w:ilvl w:val="0"/>
          <w:numId w:val="8"/>
        </w:numPr>
        <w:spacing w:after="0" w:line="360" w:lineRule="auto"/>
        <w:contextualSpacing w:val="0"/>
        <w:jc w:val="both"/>
        <w:rPr>
          <w:sz w:val="24"/>
          <w:szCs w:val="24"/>
        </w:rPr>
      </w:pPr>
      <w:r w:rsidRPr="00BB4816">
        <w:rPr>
          <w:sz w:val="24"/>
          <w:szCs w:val="24"/>
        </w:rPr>
        <w:t>Поставка в пользу третьих лиц.</w:t>
      </w:r>
    </w:p>
    <w:p w14:paraId="611266A1" w14:textId="77777777" w:rsidR="005B165B" w:rsidRDefault="005B165B" w:rsidP="005B165B">
      <w:pPr>
        <w:pStyle w:val="a3"/>
        <w:keepNext/>
        <w:spacing w:line="360" w:lineRule="auto"/>
        <w:contextualSpacing w:val="0"/>
        <w:jc w:val="center"/>
        <w:rPr>
          <w:b/>
          <w:bCs/>
          <w:sz w:val="24"/>
          <w:szCs w:val="24"/>
        </w:rPr>
      </w:pPr>
    </w:p>
    <w:p w14:paraId="3EC2A4BF" w14:textId="619D0D41" w:rsidR="005B165B" w:rsidRPr="005B165B" w:rsidRDefault="005B165B" w:rsidP="005B165B">
      <w:pPr>
        <w:pStyle w:val="a3"/>
        <w:keepNext/>
        <w:spacing w:line="360" w:lineRule="auto"/>
        <w:contextualSpacing w:val="0"/>
        <w:jc w:val="center"/>
        <w:rPr>
          <w:b/>
          <w:bCs/>
          <w:sz w:val="24"/>
          <w:szCs w:val="24"/>
        </w:rPr>
      </w:pPr>
      <w:r w:rsidRPr="001C349E">
        <w:rPr>
          <w:b/>
          <w:bCs/>
          <w:sz w:val="24"/>
          <w:szCs w:val="24"/>
        </w:rPr>
        <w:t>Подсистема «Аналитика»</w:t>
      </w:r>
    </w:p>
    <w:p w14:paraId="66C1ECF3" w14:textId="37A43C80" w:rsidR="00E83001" w:rsidRDefault="00D13BFC" w:rsidP="00D13BFC">
      <w:pPr>
        <w:pStyle w:val="a3"/>
        <w:numPr>
          <w:ilvl w:val="0"/>
          <w:numId w:val="2"/>
        </w:numPr>
        <w:spacing w:line="360" w:lineRule="auto"/>
        <w:ind w:left="714" w:hanging="357"/>
        <w:contextualSpacing w:val="0"/>
        <w:jc w:val="both"/>
        <w:rPr>
          <w:sz w:val="24"/>
          <w:szCs w:val="24"/>
        </w:rPr>
      </w:pPr>
      <w:r>
        <w:rPr>
          <w:sz w:val="24"/>
          <w:szCs w:val="24"/>
        </w:rPr>
        <w:t xml:space="preserve">В разделе «Выгрузки» для выгрузки «Данные реестра контрактов» реализована возможность выбора колонок, которые должны отображаться в выгружаемом файле. </w:t>
      </w:r>
    </w:p>
    <w:p w14:paraId="32B1CDF9" w14:textId="77777777" w:rsidR="00D13BFC" w:rsidRPr="00D13BFC" w:rsidRDefault="00D13BFC" w:rsidP="00D13BFC">
      <w:pPr>
        <w:pStyle w:val="a3"/>
        <w:spacing w:line="360" w:lineRule="auto"/>
        <w:ind w:left="714"/>
        <w:contextualSpacing w:val="0"/>
        <w:jc w:val="both"/>
        <w:rPr>
          <w:sz w:val="24"/>
          <w:szCs w:val="24"/>
        </w:rPr>
      </w:pPr>
    </w:p>
    <w:p w14:paraId="2713F654" w14:textId="472ADFF2" w:rsidR="00E47BAC" w:rsidRDefault="00E83001" w:rsidP="00E83001">
      <w:pPr>
        <w:pStyle w:val="a3"/>
        <w:keepNext/>
        <w:spacing w:line="360" w:lineRule="auto"/>
        <w:contextualSpacing w:val="0"/>
        <w:jc w:val="center"/>
        <w:rPr>
          <w:b/>
          <w:bCs/>
          <w:sz w:val="24"/>
          <w:szCs w:val="24"/>
        </w:rPr>
      </w:pPr>
      <w:r w:rsidRPr="00E83001">
        <w:rPr>
          <w:b/>
          <w:bCs/>
          <w:sz w:val="24"/>
          <w:szCs w:val="24"/>
        </w:rPr>
        <w:t>АРМ Технической поддержки</w:t>
      </w:r>
    </w:p>
    <w:p w14:paraId="52DE1DAE" w14:textId="42CF97C2" w:rsidR="00E83001" w:rsidRDefault="00E83001" w:rsidP="00E83001">
      <w:pPr>
        <w:pStyle w:val="a3"/>
        <w:numPr>
          <w:ilvl w:val="0"/>
          <w:numId w:val="2"/>
        </w:numPr>
        <w:spacing w:line="360" w:lineRule="auto"/>
        <w:ind w:left="714" w:hanging="357"/>
        <w:contextualSpacing w:val="0"/>
        <w:jc w:val="both"/>
        <w:rPr>
          <w:sz w:val="24"/>
          <w:szCs w:val="24"/>
        </w:rPr>
      </w:pPr>
      <w:r w:rsidRPr="00E83001">
        <w:rPr>
          <w:sz w:val="24"/>
          <w:szCs w:val="24"/>
        </w:rPr>
        <w:t>В разделе «Лоты» реализована возможность отключения в лоте контроля соответствия КВР в источниках финансирования лота и ИКЗ.</w:t>
      </w:r>
    </w:p>
    <w:p w14:paraId="1513263C" w14:textId="4D2D6871" w:rsidR="00E83001" w:rsidRDefault="00E83001" w:rsidP="00E83001">
      <w:pPr>
        <w:pStyle w:val="a3"/>
        <w:spacing w:line="360" w:lineRule="auto"/>
        <w:contextualSpacing w:val="0"/>
        <w:jc w:val="both"/>
        <w:rPr>
          <w:i/>
          <w:iCs/>
          <w:sz w:val="24"/>
          <w:szCs w:val="24"/>
        </w:rPr>
      </w:pPr>
      <w:r w:rsidRPr="00E267E7">
        <w:rPr>
          <w:i/>
          <w:iCs/>
          <w:sz w:val="24"/>
          <w:szCs w:val="24"/>
        </w:rPr>
        <w:t xml:space="preserve">Более подробно </w:t>
      </w:r>
      <w:r w:rsidRPr="00A11FFE">
        <w:rPr>
          <w:i/>
          <w:iCs/>
          <w:sz w:val="24"/>
          <w:szCs w:val="24"/>
        </w:rPr>
        <w:t>изменения описаны в п.</w:t>
      </w:r>
      <w:r w:rsidR="005C43F2">
        <w:rPr>
          <w:i/>
          <w:iCs/>
          <w:sz w:val="24"/>
          <w:szCs w:val="24"/>
        </w:rPr>
        <w:t xml:space="preserve"> 4.1.4</w:t>
      </w:r>
      <w:r w:rsidRPr="00A11FFE">
        <w:t xml:space="preserve"> </w:t>
      </w:r>
      <w:r w:rsidRPr="00D82E23">
        <w:rPr>
          <w:i/>
          <w:iCs/>
          <w:sz w:val="24"/>
          <w:szCs w:val="24"/>
        </w:rPr>
        <w:t>инструкции</w:t>
      </w:r>
      <w:r w:rsidRPr="00E267E7">
        <w:rPr>
          <w:i/>
          <w:iCs/>
          <w:sz w:val="24"/>
          <w:szCs w:val="24"/>
        </w:rPr>
        <w:t xml:space="preserve"> </w:t>
      </w:r>
      <w:r>
        <w:rPr>
          <w:i/>
          <w:iCs/>
          <w:sz w:val="24"/>
          <w:szCs w:val="24"/>
        </w:rPr>
        <w:t>по АРМ Технической поддержки от 25</w:t>
      </w:r>
      <w:r w:rsidRPr="004576BA">
        <w:rPr>
          <w:i/>
          <w:iCs/>
          <w:sz w:val="24"/>
          <w:szCs w:val="24"/>
        </w:rPr>
        <w:t>.0</w:t>
      </w:r>
      <w:r>
        <w:rPr>
          <w:i/>
          <w:iCs/>
          <w:sz w:val="24"/>
          <w:szCs w:val="24"/>
        </w:rPr>
        <w:t>6</w:t>
      </w:r>
      <w:r w:rsidRPr="004576BA">
        <w:rPr>
          <w:i/>
          <w:iCs/>
          <w:sz w:val="24"/>
          <w:szCs w:val="24"/>
        </w:rPr>
        <w:t>.2020 г.</w:t>
      </w:r>
    </w:p>
    <w:p w14:paraId="30FDD64D" w14:textId="77777777" w:rsidR="00E83001" w:rsidRPr="00E83001" w:rsidRDefault="00E83001" w:rsidP="00E83001">
      <w:pPr>
        <w:pStyle w:val="a3"/>
        <w:spacing w:line="360" w:lineRule="auto"/>
        <w:ind w:left="714"/>
        <w:contextualSpacing w:val="0"/>
        <w:jc w:val="both"/>
        <w:rPr>
          <w:sz w:val="24"/>
          <w:szCs w:val="24"/>
        </w:rPr>
      </w:pPr>
    </w:p>
    <w:sectPr w:rsidR="00E83001" w:rsidRPr="00E8300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7E701" w14:textId="77777777" w:rsidR="00500C8B" w:rsidRDefault="00500C8B" w:rsidP="002D499B">
      <w:pPr>
        <w:spacing w:after="0" w:line="240" w:lineRule="auto"/>
      </w:pPr>
      <w:r>
        <w:separator/>
      </w:r>
    </w:p>
  </w:endnote>
  <w:endnote w:type="continuationSeparator" w:id="0">
    <w:p w14:paraId="0F8DEE52" w14:textId="77777777" w:rsidR="00500C8B" w:rsidRDefault="00500C8B"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B143E" w14:textId="77777777" w:rsidR="002D499B" w:rsidRDefault="002D499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210274"/>
      <w:docPartObj>
        <w:docPartGallery w:val="Page Numbers (Bottom of Page)"/>
        <w:docPartUnique/>
      </w:docPartObj>
    </w:sdtPr>
    <w:sdtEndPr/>
    <w:sdtContent>
      <w:p w14:paraId="573C5BD2" w14:textId="31E321F7" w:rsidR="002D499B" w:rsidRDefault="002D499B">
        <w:pPr>
          <w:pStyle w:val="af"/>
          <w:jc w:val="right"/>
        </w:pPr>
        <w:r>
          <w:fldChar w:fldCharType="begin"/>
        </w:r>
        <w:r>
          <w:instrText>PAGE   \* MERGEFORMAT</w:instrText>
        </w:r>
        <w:r>
          <w:fldChar w:fldCharType="separate"/>
        </w:r>
        <w:r w:rsidR="00A46583">
          <w:rPr>
            <w:noProof/>
          </w:rPr>
          <w:t>1</w:t>
        </w:r>
        <w:r>
          <w:fldChar w:fldCharType="end"/>
        </w:r>
      </w:p>
    </w:sdtContent>
  </w:sdt>
  <w:p w14:paraId="419B6A6B" w14:textId="77777777" w:rsidR="002D499B" w:rsidRDefault="002D499B" w:rsidP="002D499B">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B4A66" w14:textId="77777777" w:rsidR="002D499B" w:rsidRDefault="002D49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A2A4A" w14:textId="77777777" w:rsidR="00500C8B" w:rsidRDefault="00500C8B" w:rsidP="002D499B">
      <w:pPr>
        <w:spacing w:after="0" w:line="240" w:lineRule="auto"/>
      </w:pPr>
      <w:r>
        <w:separator/>
      </w:r>
    </w:p>
  </w:footnote>
  <w:footnote w:type="continuationSeparator" w:id="0">
    <w:p w14:paraId="7337BF6E" w14:textId="77777777" w:rsidR="00500C8B" w:rsidRDefault="00500C8B" w:rsidP="002D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391EC" w14:textId="77777777" w:rsidR="002D499B" w:rsidRDefault="002D499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AD26F" w14:textId="77777777" w:rsidR="002D499B" w:rsidRDefault="002D499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3773B" w14:textId="77777777" w:rsidR="002D499B" w:rsidRDefault="002D49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722D0"/>
    <w:multiLevelType w:val="hybridMultilevel"/>
    <w:tmpl w:val="AC4449B6"/>
    <w:lvl w:ilvl="0" w:tplc="E03867B6">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1" w15:restartNumberingAfterBreak="0">
    <w:nsid w:val="13CE6968"/>
    <w:multiLevelType w:val="hybridMultilevel"/>
    <w:tmpl w:val="69DED3EC"/>
    <w:lvl w:ilvl="0" w:tplc="2A822FE0">
      <w:start w:val="1"/>
      <w:numFmt w:val="decimal"/>
      <w:lvlText w:val="%1."/>
      <w:lvlJc w:val="left"/>
      <w:pPr>
        <w:ind w:left="720" w:hanging="360"/>
      </w:pPr>
      <w:rPr>
        <w:rFonts w:hint="default"/>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BF24FA"/>
    <w:multiLevelType w:val="multilevel"/>
    <w:tmpl w:val="86284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A0AEB"/>
    <w:multiLevelType w:val="hybridMultilevel"/>
    <w:tmpl w:val="70AA8E68"/>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 w15:restartNumberingAfterBreak="0">
    <w:nsid w:val="4C161F21"/>
    <w:multiLevelType w:val="hybridMultilevel"/>
    <w:tmpl w:val="E24C1AA6"/>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cs="Wingdings" w:hint="default"/>
      </w:rPr>
    </w:lvl>
    <w:lvl w:ilvl="3" w:tplc="04190001" w:tentative="1">
      <w:start w:val="1"/>
      <w:numFmt w:val="bullet"/>
      <w:lvlText w:val=""/>
      <w:lvlJc w:val="left"/>
      <w:pPr>
        <w:ind w:left="3594" w:hanging="360"/>
      </w:pPr>
      <w:rPr>
        <w:rFonts w:ascii="Symbol" w:hAnsi="Symbol" w:cs="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cs="Wingdings" w:hint="default"/>
      </w:rPr>
    </w:lvl>
    <w:lvl w:ilvl="6" w:tplc="04190001" w:tentative="1">
      <w:start w:val="1"/>
      <w:numFmt w:val="bullet"/>
      <w:lvlText w:val=""/>
      <w:lvlJc w:val="left"/>
      <w:pPr>
        <w:ind w:left="5754" w:hanging="360"/>
      </w:pPr>
      <w:rPr>
        <w:rFonts w:ascii="Symbol" w:hAnsi="Symbol" w:cs="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cs="Wingdings" w:hint="default"/>
      </w:rPr>
    </w:lvl>
  </w:abstractNum>
  <w:abstractNum w:abstractNumId="5" w15:restartNumberingAfterBreak="0">
    <w:nsid w:val="6EE23297"/>
    <w:multiLevelType w:val="hybridMultilevel"/>
    <w:tmpl w:val="2E84C230"/>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 w15:restartNumberingAfterBreak="0">
    <w:nsid w:val="778C0637"/>
    <w:multiLevelType w:val="hybridMultilevel"/>
    <w:tmpl w:val="028042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4"/>
  </w:num>
  <w:num w:numId="5">
    <w:abstractNumId w:val="1"/>
  </w:num>
  <w:num w:numId="6">
    <w:abstractNumId w:val="3"/>
  </w:num>
  <w:num w:numId="7">
    <w:abstractNumId w:val="2"/>
  </w:num>
  <w:num w:numId="8">
    <w:abstractNumId w:val="5"/>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7B"/>
    <w:rsid w:val="00006790"/>
    <w:rsid w:val="00016465"/>
    <w:rsid w:val="00016A2C"/>
    <w:rsid w:val="00016F54"/>
    <w:rsid w:val="00017478"/>
    <w:rsid w:val="00024271"/>
    <w:rsid w:val="000454BC"/>
    <w:rsid w:val="00051B37"/>
    <w:rsid w:val="0005271E"/>
    <w:rsid w:val="000535B4"/>
    <w:rsid w:val="00054A33"/>
    <w:rsid w:val="00060BC6"/>
    <w:rsid w:val="0006423A"/>
    <w:rsid w:val="00064D1D"/>
    <w:rsid w:val="000758DD"/>
    <w:rsid w:val="000848A2"/>
    <w:rsid w:val="00093083"/>
    <w:rsid w:val="00097EB8"/>
    <w:rsid w:val="000A31BB"/>
    <w:rsid w:val="000A6B4A"/>
    <w:rsid w:val="000A7C73"/>
    <w:rsid w:val="000B2EE9"/>
    <w:rsid w:val="000B6574"/>
    <w:rsid w:val="000C44AA"/>
    <w:rsid w:val="000C4F06"/>
    <w:rsid w:val="000C5614"/>
    <w:rsid w:val="000C78FC"/>
    <w:rsid w:val="000D2845"/>
    <w:rsid w:val="000D5B81"/>
    <w:rsid w:val="000D6B2C"/>
    <w:rsid w:val="000D6E16"/>
    <w:rsid w:val="000E220B"/>
    <w:rsid w:val="000E43A1"/>
    <w:rsid w:val="00101E96"/>
    <w:rsid w:val="00103009"/>
    <w:rsid w:val="001043A1"/>
    <w:rsid w:val="00110A6C"/>
    <w:rsid w:val="00131F07"/>
    <w:rsid w:val="001402A1"/>
    <w:rsid w:val="00144E64"/>
    <w:rsid w:val="00156B03"/>
    <w:rsid w:val="00161FCE"/>
    <w:rsid w:val="00163F6D"/>
    <w:rsid w:val="0017429C"/>
    <w:rsid w:val="00175E2E"/>
    <w:rsid w:val="00185886"/>
    <w:rsid w:val="00194B75"/>
    <w:rsid w:val="00194BB5"/>
    <w:rsid w:val="001954E2"/>
    <w:rsid w:val="001961F1"/>
    <w:rsid w:val="001A501B"/>
    <w:rsid w:val="001A6A0F"/>
    <w:rsid w:val="001A751B"/>
    <w:rsid w:val="001A7AEA"/>
    <w:rsid w:val="001B3090"/>
    <w:rsid w:val="001C349E"/>
    <w:rsid w:val="001C6222"/>
    <w:rsid w:val="001D4368"/>
    <w:rsid w:val="001D628F"/>
    <w:rsid w:val="001E0B7B"/>
    <w:rsid w:val="001E2BFB"/>
    <w:rsid w:val="001E5194"/>
    <w:rsid w:val="001F086D"/>
    <w:rsid w:val="001F1B01"/>
    <w:rsid w:val="001F353F"/>
    <w:rsid w:val="001F5381"/>
    <w:rsid w:val="00200048"/>
    <w:rsid w:val="002030DD"/>
    <w:rsid w:val="002050DB"/>
    <w:rsid w:val="002128EA"/>
    <w:rsid w:val="0022151B"/>
    <w:rsid w:val="00230FA9"/>
    <w:rsid w:val="00231C02"/>
    <w:rsid w:val="0023341B"/>
    <w:rsid w:val="0023709D"/>
    <w:rsid w:val="0023762F"/>
    <w:rsid w:val="002407E9"/>
    <w:rsid w:val="0024114C"/>
    <w:rsid w:val="00242EDA"/>
    <w:rsid w:val="002430CC"/>
    <w:rsid w:val="00244096"/>
    <w:rsid w:val="00245148"/>
    <w:rsid w:val="00252C98"/>
    <w:rsid w:val="00261B44"/>
    <w:rsid w:val="00264C4E"/>
    <w:rsid w:val="00265050"/>
    <w:rsid w:val="002734AD"/>
    <w:rsid w:val="00277FE8"/>
    <w:rsid w:val="00280755"/>
    <w:rsid w:val="00281369"/>
    <w:rsid w:val="0029494D"/>
    <w:rsid w:val="00295D18"/>
    <w:rsid w:val="002A1028"/>
    <w:rsid w:val="002A2FD4"/>
    <w:rsid w:val="002A2FF7"/>
    <w:rsid w:val="002A342B"/>
    <w:rsid w:val="002B0785"/>
    <w:rsid w:val="002B15EE"/>
    <w:rsid w:val="002B4A54"/>
    <w:rsid w:val="002B4D2A"/>
    <w:rsid w:val="002B4F85"/>
    <w:rsid w:val="002C1013"/>
    <w:rsid w:val="002C2053"/>
    <w:rsid w:val="002C7DB4"/>
    <w:rsid w:val="002C7F25"/>
    <w:rsid w:val="002D0EAE"/>
    <w:rsid w:val="002D1489"/>
    <w:rsid w:val="002D315A"/>
    <w:rsid w:val="002D499B"/>
    <w:rsid w:val="002E36E4"/>
    <w:rsid w:val="002E46B8"/>
    <w:rsid w:val="002F5DA5"/>
    <w:rsid w:val="0030365F"/>
    <w:rsid w:val="0030526A"/>
    <w:rsid w:val="003159B1"/>
    <w:rsid w:val="00330E28"/>
    <w:rsid w:val="0035522A"/>
    <w:rsid w:val="00356008"/>
    <w:rsid w:val="00363280"/>
    <w:rsid w:val="00386BF7"/>
    <w:rsid w:val="00390456"/>
    <w:rsid w:val="00395BC7"/>
    <w:rsid w:val="00395E33"/>
    <w:rsid w:val="003A1CA7"/>
    <w:rsid w:val="003C0AC7"/>
    <w:rsid w:val="003D2D36"/>
    <w:rsid w:val="003F069F"/>
    <w:rsid w:val="004013D6"/>
    <w:rsid w:val="00401CAD"/>
    <w:rsid w:val="004039EF"/>
    <w:rsid w:val="00405153"/>
    <w:rsid w:val="00412DD3"/>
    <w:rsid w:val="0041430D"/>
    <w:rsid w:val="004160C5"/>
    <w:rsid w:val="00421876"/>
    <w:rsid w:val="00422E9B"/>
    <w:rsid w:val="0042721F"/>
    <w:rsid w:val="004367B3"/>
    <w:rsid w:val="00445186"/>
    <w:rsid w:val="004475B5"/>
    <w:rsid w:val="00447B40"/>
    <w:rsid w:val="00451CE0"/>
    <w:rsid w:val="004576BA"/>
    <w:rsid w:val="0046028C"/>
    <w:rsid w:val="004602D7"/>
    <w:rsid w:val="00460CB3"/>
    <w:rsid w:val="00466984"/>
    <w:rsid w:val="004701D6"/>
    <w:rsid w:val="00476EF8"/>
    <w:rsid w:val="0048363D"/>
    <w:rsid w:val="00483E59"/>
    <w:rsid w:val="0048492A"/>
    <w:rsid w:val="00490475"/>
    <w:rsid w:val="00493583"/>
    <w:rsid w:val="00496C70"/>
    <w:rsid w:val="004A215F"/>
    <w:rsid w:val="004C0F2A"/>
    <w:rsid w:val="004C6925"/>
    <w:rsid w:val="004D04FC"/>
    <w:rsid w:val="004D20F8"/>
    <w:rsid w:val="004D72CB"/>
    <w:rsid w:val="004D746E"/>
    <w:rsid w:val="004E2D06"/>
    <w:rsid w:val="004E3029"/>
    <w:rsid w:val="004E532D"/>
    <w:rsid w:val="004F338A"/>
    <w:rsid w:val="00500C8B"/>
    <w:rsid w:val="00501678"/>
    <w:rsid w:val="00502507"/>
    <w:rsid w:val="005074E4"/>
    <w:rsid w:val="00507511"/>
    <w:rsid w:val="00507779"/>
    <w:rsid w:val="00514611"/>
    <w:rsid w:val="005216F7"/>
    <w:rsid w:val="00522433"/>
    <w:rsid w:val="005234BC"/>
    <w:rsid w:val="00532528"/>
    <w:rsid w:val="00535AA4"/>
    <w:rsid w:val="00542113"/>
    <w:rsid w:val="00545ED8"/>
    <w:rsid w:val="00546FE5"/>
    <w:rsid w:val="005471F8"/>
    <w:rsid w:val="00553990"/>
    <w:rsid w:val="005547CE"/>
    <w:rsid w:val="00554D6E"/>
    <w:rsid w:val="00567377"/>
    <w:rsid w:val="00567ECA"/>
    <w:rsid w:val="00570055"/>
    <w:rsid w:val="0057306F"/>
    <w:rsid w:val="00573CFE"/>
    <w:rsid w:val="00580655"/>
    <w:rsid w:val="0058106D"/>
    <w:rsid w:val="00581F71"/>
    <w:rsid w:val="00582A74"/>
    <w:rsid w:val="00586F45"/>
    <w:rsid w:val="0058731A"/>
    <w:rsid w:val="0059209F"/>
    <w:rsid w:val="00593F91"/>
    <w:rsid w:val="005A7EA9"/>
    <w:rsid w:val="005B165B"/>
    <w:rsid w:val="005B5090"/>
    <w:rsid w:val="005C43F2"/>
    <w:rsid w:val="005D2405"/>
    <w:rsid w:val="005D3FCA"/>
    <w:rsid w:val="005D4CED"/>
    <w:rsid w:val="005D4CF0"/>
    <w:rsid w:val="005F6B04"/>
    <w:rsid w:val="006041A4"/>
    <w:rsid w:val="00604D3D"/>
    <w:rsid w:val="00605B17"/>
    <w:rsid w:val="00607868"/>
    <w:rsid w:val="00607E44"/>
    <w:rsid w:val="00611E01"/>
    <w:rsid w:val="0061270D"/>
    <w:rsid w:val="0061426C"/>
    <w:rsid w:val="00621A6A"/>
    <w:rsid w:val="00622133"/>
    <w:rsid w:val="00625904"/>
    <w:rsid w:val="00626A14"/>
    <w:rsid w:val="00631D1B"/>
    <w:rsid w:val="00632C8F"/>
    <w:rsid w:val="00645524"/>
    <w:rsid w:val="00651DD1"/>
    <w:rsid w:val="00654727"/>
    <w:rsid w:val="006630B0"/>
    <w:rsid w:val="00665F1E"/>
    <w:rsid w:val="00673A2E"/>
    <w:rsid w:val="0067429E"/>
    <w:rsid w:val="00675008"/>
    <w:rsid w:val="00675DF9"/>
    <w:rsid w:val="00681ABC"/>
    <w:rsid w:val="00682B8D"/>
    <w:rsid w:val="00682F27"/>
    <w:rsid w:val="006A0744"/>
    <w:rsid w:val="006A1EC3"/>
    <w:rsid w:val="006A2E9E"/>
    <w:rsid w:val="006A3CCE"/>
    <w:rsid w:val="006A5CCA"/>
    <w:rsid w:val="006C56AB"/>
    <w:rsid w:val="006C5726"/>
    <w:rsid w:val="006D1466"/>
    <w:rsid w:val="006D2D08"/>
    <w:rsid w:val="006D533A"/>
    <w:rsid w:val="006E2A3C"/>
    <w:rsid w:val="006E2C0F"/>
    <w:rsid w:val="006E68AE"/>
    <w:rsid w:val="0070374C"/>
    <w:rsid w:val="00712F52"/>
    <w:rsid w:val="007134B8"/>
    <w:rsid w:val="007255DA"/>
    <w:rsid w:val="00734B66"/>
    <w:rsid w:val="007375E7"/>
    <w:rsid w:val="00743C3C"/>
    <w:rsid w:val="00744CD4"/>
    <w:rsid w:val="00751724"/>
    <w:rsid w:val="00751BDC"/>
    <w:rsid w:val="007526EE"/>
    <w:rsid w:val="0075586E"/>
    <w:rsid w:val="00756837"/>
    <w:rsid w:val="007607F4"/>
    <w:rsid w:val="00761932"/>
    <w:rsid w:val="00763450"/>
    <w:rsid w:val="007645D7"/>
    <w:rsid w:val="00764FBB"/>
    <w:rsid w:val="007708E9"/>
    <w:rsid w:val="0077402F"/>
    <w:rsid w:val="00776A19"/>
    <w:rsid w:val="007878E1"/>
    <w:rsid w:val="00791B6A"/>
    <w:rsid w:val="00796148"/>
    <w:rsid w:val="0079614C"/>
    <w:rsid w:val="0079655C"/>
    <w:rsid w:val="00796F86"/>
    <w:rsid w:val="007A143D"/>
    <w:rsid w:val="007A377E"/>
    <w:rsid w:val="007B66D4"/>
    <w:rsid w:val="007B7263"/>
    <w:rsid w:val="007C39EA"/>
    <w:rsid w:val="007D05FE"/>
    <w:rsid w:val="007E23C6"/>
    <w:rsid w:val="007E3E8E"/>
    <w:rsid w:val="007F02B7"/>
    <w:rsid w:val="00804473"/>
    <w:rsid w:val="00810D36"/>
    <w:rsid w:val="00815495"/>
    <w:rsid w:val="00816322"/>
    <w:rsid w:val="00820C5F"/>
    <w:rsid w:val="008320BE"/>
    <w:rsid w:val="008360A0"/>
    <w:rsid w:val="00845570"/>
    <w:rsid w:val="00847735"/>
    <w:rsid w:val="00850B57"/>
    <w:rsid w:val="00856BE1"/>
    <w:rsid w:val="0086237D"/>
    <w:rsid w:val="00876EE9"/>
    <w:rsid w:val="00880939"/>
    <w:rsid w:val="008912B0"/>
    <w:rsid w:val="008952A4"/>
    <w:rsid w:val="008A455A"/>
    <w:rsid w:val="008B0599"/>
    <w:rsid w:val="008B3E83"/>
    <w:rsid w:val="008B5B36"/>
    <w:rsid w:val="008C252B"/>
    <w:rsid w:val="008D5378"/>
    <w:rsid w:val="008E0504"/>
    <w:rsid w:val="008E14C6"/>
    <w:rsid w:val="008E512C"/>
    <w:rsid w:val="008F4EE2"/>
    <w:rsid w:val="008F7C8E"/>
    <w:rsid w:val="0090048C"/>
    <w:rsid w:val="00901372"/>
    <w:rsid w:val="00904C67"/>
    <w:rsid w:val="009058CC"/>
    <w:rsid w:val="0092003D"/>
    <w:rsid w:val="00920FBD"/>
    <w:rsid w:val="009259FE"/>
    <w:rsid w:val="009503E4"/>
    <w:rsid w:val="00951496"/>
    <w:rsid w:val="00952093"/>
    <w:rsid w:val="00962375"/>
    <w:rsid w:val="00970EA1"/>
    <w:rsid w:val="00971BD1"/>
    <w:rsid w:val="009758CB"/>
    <w:rsid w:val="00975950"/>
    <w:rsid w:val="00985496"/>
    <w:rsid w:val="00986002"/>
    <w:rsid w:val="009A181A"/>
    <w:rsid w:val="009A2399"/>
    <w:rsid w:val="009A481E"/>
    <w:rsid w:val="009B1973"/>
    <w:rsid w:val="009C05A6"/>
    <w:rsid w:val="009C41A8"/>
    <w:rsid w:val="009D5128"/>
    <w:rsid w:val="009D54CA"/>
    <w:rsid w:val="009F5782"/>
    <w:rsid w:val="00A053EC"/>
    <w:rsid w:val="00A11FFE"/>
    <w:rsid w:val="00A16F33"/>
    <w:rsid w:val="00A223AF"/>
    <w:rsid w:val="00A434DF"/>
    <w:rsid w:val="00A4572A"/>
    <w:rsid w:val="00A46583"/>
    <w:rsid w:val="00A51F4E"/>
    <w:rsid w:val="00A521AC"/>
    <w:rsid w:val="00A8491A"/>
    <w:rsid w:val="00A905E4"/>
    <w:rsid w:val="00A9518A"/>
    <w:rsid w:val="00AA2DE5"/>
    <w:rsid w:val="00AA34E8"/>
    <w:rsid w:val="00AB5E25"/>
    <w:rsid w:val="00AD33C0"/>
    <w:rsid w:val="00AE1239"/>
    <w:rsid w:val="00AE1743"/>
    <w:rsid w:val="00AE289B"/>
    <w:rsid w:val="00AE756E"/>
    <w:rsid w:val="00AF01BA"/>
    <w:rsid w:val="00B01439"/>
    <w:rsid w:val="00B02A37"/>
    <w:rsid w:val="00B2158F"/>
    <w:rsid w:val="00B220D3"/>
    <w:rsid w:val="00B277A0"/>
    <w:rsid w:val="00B30148"/>
    <w:rsid w:val="00B37D24"/>
    <w:rsid w:val="00B4743D"/>
    <w:rsid w:val="00B50D78"/>
    <w:rsid w:val="00B51FF5"/>
    <w:rsid w:val="00B54573"/>
    <w:rsid w:val="00B61CC0"/>
    <w:rsid w:val="00B62AA6"/>
    <w:rsid w:val="00B63A1B"/>
    <w:rsid w:val="00B67DD8"/>
    <w:rsid w:val="00B7086D"/>
    <w:rsid w:val="00B70A6B"/>
    <w:rsid w:val="00B71745"/>
    <w:rsid w:val="00B7340B"/>
    <w:rsid w:val="00B7495E"/>
    <w:rsid w:val="00B86AD1"/>
    <w:rsid w:val="00BB207F"/>
    <w:rsid w:val="00BB4816"/>
    <w:rsid w:val="00BE3BB2"/>
    <w:rsid w:val="00BE6EC2"/>
    <w:rsid w:val="00C0202F"/>
    <w:rsid w:val="00C052A9"/>
    <w:rsid w:val="00C166BD"/>
    <w:rsid w:val="00C254A5"/>
    <w:rsid w:val="00C35F74"/>
    <w:rsid w:val="00C40F25"/>
    <w:rsid w:val="00C515C6"/>
    <w:rsid w:val="00C53FD1"/>
    <w:rsid w:val="00C53FEE"/>
    <w:rsid w:val="00C548B3"/>
    <w:rsid w:val="00C6050D"/>
    <w:rsid w:val="00C65048"/>
    <w:rsid w:val="00C7302D"/>
    <w:rsid w:val="00C80171"/>
    <w:rsid w:val="00C9687C"/>
    <w:rsid w:val="00CA1BBC"/>
    <w:rsid w:val="00CB5DA1"/>
    <w:rsid w:val="00CC4D8A"/>
    <w:rsid w:val="00CD052E"/>
    <w:rsid w:val="00CD50B1"/>
    <w:rsid w:val="00CE4F28"/>
    <w:rsid w:val="00CF1AC4"/>
    <w:rsid w:val="00CF743F"/>
    <w:rsid w:val="00D03BDC"/>
    <w:rsid w:val="00D13BFC"/>
    <w:rsid w:val="00D13CB0"/>
    <w:rsid w:val="00D16260"/>
    <w:rsid w:val="00D17EB6"/>
    <w:rsid w:val="00D25218"/>
    <w:rsid w:val="00D45D66"/>
    <w:rsid w:val="00D467F6"/>
    <w:rsid w:val="00D46A46"/>
    <w:rsid w:val="00D534F5"/>
    <w:rsid w:val="00D608AF"/>
    <w:rsid w:val="00D70D03"/>
    <w:rsid w:val="00D71D28"/>
    <w:rsid w:val="00D77108"/>
    <w:rsid w:val="00D82E23"/>
    <w:rsid w:val="00D92249"/>
    <w:rsid w:val="00DA1C8E"/>
    <w:rsid w:val="00DA33AF"/>
    <w:rsid w:val="00DA348C"/>
    <w:rsid w:val="00DB65E3"/>
    <w:rsid w:val="00DD2B85"/>
    <w:rsid w:val="00DD50AE"/>
    <w:rsid w:val="00DE286F"/>
    <w:rsid w:val="00DE6C7D"/>
    <w:rsid w:val="00DF597B"/>
    <w:rsid w:val="00E005D2"/>
    <w:rsid w:val="00E02178"/>
    <w:rsid w:val="00E06215"/>
    <w:rsid w:val="00E11B74"/>
    <w:rsid w:val="00E16FEB"/>
    <w:rsid w:val="00E17B3D"/>
    <w:rsid w:val="00E24461"/>
    <w:rsid w:val="00E267E7"/>
    <w:rsid w:val="00E47BAC"/>
    <w:rsid w:val="00E5004E"/>
    <w:rsid w:val="00E52CA0"/>
    <w:rsid w:val="00E5794D"/>
    <w:rsid w:val="00E70AC5"/>
    <w:rsid w:val="00E74801"/>
    <w:rsid w:val="00E7734C"/>
    <w:rsid w:val="00E80CE7"/>
    <w:rsid w:val="00E83001"/>
    <w:rsid w:val="00E85577"/>
    <w:rsid w:val="00E8698B"/>
    <w:rsid w:val="00E87143"/>
    <w:rsid w:val="00EA17E0"/>
    <w:rsid w:val="00EB0F4E"/>
    <w:rsid w:val="00EB32AF"/>
    <w:rsid w:val="00EB4566"/>
    <w:rsid w:val="00EB54D5"/>
    <w:rsid w:val="00EC2B28"/>
    <w:rsid w:val="00ED3A28"/>
    <w:rsid w:val="00ED3DF5"/>
    <w:rsid w:val="00ED71FB"/>
    <w:rsid w:val="00EE468F"/>
    <w:rsid w:val="00EE5C57"/>
    <w:rsid w:val="00EE5E9A"/>
    <w:rsid w:val="00EF02B3"/>
    <w:rsid w:val="00EF2CEF"/>
    <w:rsid w:val="00EF3DB2"/>
    <w:rsid w:val="00EF7B03"/>
    <w:rsid w:val="00F01E0D"/>
    <w:rsid w:val="00F0259C"/>
    <w:rsid w:val="00F06732"/>
    <w:rsid w:val="00F07835"/>
    <w:rsid w:val="00F107F4"/>
    <w:rsid w:val="00F16E4E"/>
    <w:rsid w:val="00F17555"/>
    <w:rsid w:val="00F20EB8"/>
    <w:rsid w:val="00F23812"/>
    <w:rsid w:val="00F2580F"/>
    <w:rsid w:val="00F315A8"/>
    <w:rsid w:val="00F51D02"/>
    <w:rsid w:val="00F74905"/>
    <w:rsid w:val="00F80CF1"/>
    <w:rsid w:val="00F853AA"/>
    <w:rsid w:val="00F92EDD"/>
    <w:rsid w:val="00F9354B"/>
    <w:rsid w:val="00F938B1"/>
    <w:rsid w:val="00F93A6B"/>
    <w:rsid w:val="00FA2521"/>
    <w:rsid w:val="00FA277E"/>
    <w:rsid w:val="00FA7D61"/>
    <w:rsid w:val="00FB7484"/>
    <w:rsid w:val="00FD1A99"/>
    <w:rsid w:val="00FD4A39"/>
    <w:rsid w:val="00FD5667"/>
    <w:rsid w:val="00FE0535"/>
    <w:rsid w:val="00FE606B"/>
    <w:rsid w:val="00FF224B"/>
    <w:rsid w:val="00FF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4777"/>
  <w15:docId w15:val="{A015E561-154D-4987-87F4-45B8926A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97B"/>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70857047">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230701394">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1120</Words>
  <Characters>6387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2</cp:revision>
  <cp:lastPrinted>2020-06-29T04:46:00Z</cp:lastPrinted>
  <dcterms:created xsi:type="dcterms:W3CDTF">2020-06-29T04:46:00Z</dcterms:created>
  <dcterms:modified xsi:type="dcterms:W3CDTF">2020-06-29T04:46:00Z</dcterms:modified>
</cp:coreProperties>
</file>