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B0" w:rsidRDefault="008912B0" w:rsidP="008912B0">
      <w:pPr>
        <w:jc w:val="center"/>
        <w:rPr>
          <w:b/>
          <w:color w:val="4472C4" w:themeColor="accent1"/>
          <w:sz w:val="28"/>
        </w:rPr>
      </w:pPr>
      <w:r w:rsidRPr="008912B0">
        <w:rPr>
          <w:b/>
          <w:color w:val="4472C4" w:themeColor="accent1"/>
          <w:sz w:val="28"/>
        </w:rPr>
        <w:t xml:space="preserve">СОСТАВ ОБНОВЛЕНИЙ РИС ЗАКУПКИ ПК ОТ </w:t>
      </w:r>
      <w:r w:rsidR="00F07835">
        <w:rPr>
          <w:b/>
          <w:color w:val="4472C4" w:themeColor="accent1"/>
          <w:sz w:val="28"/>
        </w:rPr>
        <w:t>18</w:t>
      </w:r>
      <w:r w:rsidRPr="008912B0">
        <w:rPr>
          <w:b/>
          <w:color w:val="4472C4" w:themeColor="accent1"/>
          <w:sz w:val="28"/>
        </w:rPr>
        <w:t>.</w:t>
      </w:r>
      <w:r w:rsidR="00876EE9">
        <w:rPr>
          <w:b/>
          <w:color w:val="4472C4" w:themeColor="accent1"/>
          <w:sz w:val="28"/>
        </w:rPr>
        <w:t>0</w:t>
      </w:r>
      <w:r w:rsidR="000A7C73" w:rsidRPr="000A7C73">
        <w:rPr>
          <w:b/>
          <w:color w:val="4472C4" w:themeColor="accent1"/>
          <w:sz w:val="28"/>
        </w:rPr>
        <w:t>3</w:t>
      </w:r>
      <w:r w:rsidRPr="008912B0">
        <w:rPr>
          <w:b/>
          <w:color w:val="4472C4" w:themeColor="accent1"/>
          <w:sz w:val="28"/>
        </w:rPr>
        <w:t>.201</w:t>
      </w:r>
      <w:r w:rsidR="00876EE9">
        <w:rPr>
          <w:b/>
          <w:color w:val="4472C4" w:themeColor="accent1"/>
          <w:sz w:val="28"/>
        </w:rPr>
        <w:t>9</w:t>
      </w:r>
      <w:r w:rsidRPr="008912B0">
        <w:rPr>
          <w:b/>
          <w:color w:val="4472C4" w:themeColor="accent1"/>
          <w:sz w:val="28"/>
        </w:rPr>
        <w:t xml:space="preserve"> г.</w:t>
      </w:r>
    </w:p>
    <w:p w:rsidR="00665F1E" w:rsidRDefault="00665F1E" w:rsidP="008912B0">
      <w:pPr>
        <w:jc w:val="center"/>
        <w:rPr>
          <w:b/>
          <w:color w:val="4472C4" w:themeColor="accent1"/>
          <w:sz w:val="28"/>
        </w:rPr>
      </w:pPr>
    </w:p>
    <w:p w:rsidR="000A7C73" w:rsidRDefault="00ED3DF5" w:rsidP="002D315A">
      <w:pPr>
        <w:pStyle w:val="a3"/>
        <w:numPr>
          <w:ilvl w:val="0"/>
          <w:numId w:val="7"/>
        </w:numPr>
        <w:spacing w:line="360" w:lineRule="auto"/>
        <w:contextualSpacing w:val="0"/>
        <w:jc w:val="both"/>
        <w:rPr>
          <w:sz w:val="24"/>
          <w:szCs w:val="24"/>
        </w:rPr>
      </w:pPr>
      <w:r>
        <w:rPr>
          <w:sz w:val="24"/>
          <w:szCs w:val="24"/>
        </w:rPr>
        <w:t xml:space="preserve">В </w:t>
      </w:r>
      <w:r w:rsidR="000A7C73">
        <w:rPr>
          <w:sz w:val="24"/>
          <w:szCs w:val="24"/>
        </w:rPr>
        <w:t xml:space="preserve">подсистеме Планирование в объекте закупок реализована возможность </w:t>
      </w:r>
      <w:r w:rsidR="00F07835">
        <w:rPr>
          <w:sz w:val="24"/>
          <w:szCs w:val="24"/>
        </w:rPr>
        <w:t xml:space="preserve">копирования. По нажатию на кнопку </w:t>
      </w:r>
      <w:r w:rsidR="00F07835">
        <w:rPr>
          <w:noProof/>
          <w:sz w:val="24"/>
          <w:szCs w:val="24"/>
          <w:lang w:eastAsia="ru-RU"/>
        </w:rPr>
        <w:drawing>
          <wp:inline distT="0" distB="0" distL="0" distR="0">
            <wp:extent cx="371475" cy="381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sidR="00F07835">
        <w:rPr>
          <w:sz w:val="24"/>
          <w:szCs w:val="24"/>
        </w:rPr>
        <w:t>(«Копировать») в карточке объекта закупки автоматически создается копия объекта, открытая для редактирования. Копировани</w:t>
      </w:r>
      <w:r w:rsidR="0059007E">
        <w:rPr>
          <w:sz w:val="24"/>
          <w:szCs w:val="24"/>
        </w:rPr>
        <w:t>е</w:t>
      </w:r>
      <w:bookmarkStart w:id="0" w:name="_GoBack"/>
      <w:bookmarkEnd w:id="0"/>
      <w:r w:rsidR="00F07835">
        <w:rPr>
          <w:sz w:val="24"/>
          <w:szCs w:val="24"/>
        </w:rPr>
        <w:t xml:space="preserve"> осуществляется без блока «Финансовое обеспечение».  </w:t>
      </w:r>
    </w:p>
    <w:p w:rsidR="00ED3DF5" w:rsidRDefault="000A7C73" w:rsidP="000A7C73">
      <w:pPr>
        <w:pStyle w:val="a3"/>
        <w:spacing w:line="360" w:lineRule="auto"/>
        <w:ind w:left="644"/>
        <w:contextualSpacing w:val="0"/>
        <w:jc w:val="both"/>
        <w:rPr>
          <w:sz w:val="24"/>
          <w:szCs w:val="24"/>
        </w:rPr>
      </w:pPr>
      <w:r>
        <w:rPr>
          <w:sz w:val="24"/>
          <w:szCs w:val="24"/>
        </w:rPr>
        <w:t xml:space="preserve">Более подробно изменения описаны в инструкции по подсистеме «Планирование» от </w:t>
      </w:r>
      <w:r w:rsidR="00F07835">
        <w:rPr>
          <w:sz w:val="24"/>
          <w:szCs w:val="24"/>
        </w:rPr>
        <w:t>18</w:t>
      </w:r>
      <w:r>
        <w:rPr>
          <w:sz w:val="24"/>
          <w:szCs w:val="24"/>
        </w:rPr>
        <w:t xml:space="preserve">.03.2019 г. </w:t>
      </w:r>
    </w:p>
    <w:p w:rsidR="00D16260" w:rsidRDefault="00D16260" w:rsidP="00F80CF1">
      <w:pPr>
        <w:pStyle w:val="a3"/>
        <w:numPr>
          <w:ilvl w:val="0"/>
          <w:numId w:val="7"/>
        </w:numPr>
        <w:spacing w:line="360" w:lineRule="auto"/>
        <w:contextualSpacing w:val="0"/>
        <w:jc w:val="both"/>
        <w:rPr>
          <w:sz w:val="24"/>
          <w:szCs w:val="24"/>
        </w:rPr>
      </w:pPr>
      <w:r w:rsidRPr="00D16260">
        <w:rPr>
          <w:sz w:val="24"/>
          <w:szCs w:val="24"/>
        </w:rPr>
        <w:t>В подсистеме Планирование</w:t>
      </w:r>
      <w:r w:rsidR="00776A19">
        <w:rPr>
          <w:sz w:val="24"/>
          <w:szCs w:val="24"/>
        </w:rPr>
        <w:t xml:space="preserve"> в объектах закупок, предусматривающих финансирование, выходящее за период планирования плана закупок, реализована возможность указания информации о нормативно-правовых актах, регламентирующих заключение долгосрочных контрактов. Ввод информации осуществляется в блоке «С</w:t>
      </w:r>
      <w:r w:rsidR="00776A19" w:rsidRPr="00776A19">
        <w:rPr>
          <w:sz w:val="24"/>
          <w:szCs w:val="24"/>
        </w:rPr>
        <w:t xml:space="preserve">ведения об </w:t>
      </w:r>
      <w:r w:rsidR="00776A19">
        <w:rPr>
          <w:sz w:val="24"/>
          <w:szCs w:val="24"/>
        </w:rPr>
        <w:t>НПА</w:t>
      </w:r>
      <w:r w:rsidR="00776A19" w:rsidRPr="00776A19">
        <w:rPr>
          <w:sz w:val="24"/>
          <w:szCs w:val="24"/>
        </w:rPr>
        <w:t xml:space="preserve"> и планируемом объеме средств на осуществление закупки</w:t>
      </w:r>
      <w:r w:rsidR="00776A19">
        <w:rPr>
          <w:sz w:val="24"/>
          <w:szCs w:val="24"/>
        </w:rPr>
        <w:t>». Блок отображается только если в блоке «Источники финансирования» выбраны источники финансирования на год, превышающий период планирования</w:t>
      </w:r>
      <w:r w:rsidR="00EF2CEF">
        <w:rPr>
          <w:sz w:val="24"/>
          <w:szCs w:val="24"/>
        </w:rPr>
        <w:t xml:space="preserve"> (т.е. выходящий за рамки периода текущей бюджетной классификации)</w:t>
      </w:r>
      <w:r w:rsidR="00776A19">
        <w:rPr>
          <w:sz w:val="24"/>
          <w:szCs w:val="24"/>
        </w:rPr>
        <w:t xml:space="preserve">. </w:t>
      </w:r>
    </w:p>
    <w:p w:rsidR="00776A19" w:rsidRDefault="00EF2CEF" w:rsidP="00776A19">
      <w:pPr>
        <w:pStyle w:val="a3"/>
        <w:spacing w:line="360" w:lineRule="auto"/>
        <w:ind w:left="644"/>
        <w:contextualSpacing w:val="0"/>
        <w:jc w:val="both"/>
        <w:rPr>
          <w:sz w:val="24"/>
          <w:szCs w:val="24"/>
        </w:rPr>
      </w:pPr>
      <w:r>
        <w:rPr>
          <w:noProof/>
          <w:sz w:val="24"/>
          <w:szCs w:val="24"/>
          <w:lang w:eastAsia="ru-RU"/>
        </w:rPr>
        <w:drawing>
          <wp:inline distT="0" distB="0" distL="0" distR="0">
            <wp:extent cx="593407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057275"/>
                    </a:xfrm>
                    <a:prstGeom prst="rect">
                      <a:avLst/>
                    </a:prstGeom>
                    <a:noFill/>
                    <a:ln>
                      <a:noFill/>
                    </a:ln>
                  </pic:spPr>
                </pic:pic>
              </a:graphicData>
            </a:graphic>
          </wp:inline>
        </w:drawing>
      </w:r>
    </w:p>
    <w:p w:rsidR="00D16260" w:rsidRDefault="00776A19" w:rsidP="00D16260">
      <w:pPr>
        <w:pStyle w:val="a3"/>
        <w:spacing w:line="360" w:lineRule="auto"/>
        <w:ind w:left="644"/>
        <w:contextualSpacing w:val="0"/>
        <w:jc w:val="both"/>
        <w:rPr>
          <w:sz w:val="24"/>
          <w:szCs w:val="24"/>
        </w:rPr>
      </w:pPr>
      <w:r>
        <w:rPr>
          <w:sz w:val="24"/>
          <w:szCs w:val="24"/>
        </w:rPr>
        <w:t xml:space="preserve">Более подробно изменения описаны в инструкции по подсистеме «Планирование» от 18.03.2019 г. </w:t>
      </w:r>
    </w:p>
    <w:p w:rsidR="00EF2CEF" w:rsidRPr="00EF2CEF" w:rsidRDefault="00EF2CEF" w:rsidP="00EF2CEF">
      <w:pPr>
        <w:pStyle w:val="a3"/>
        <w:numPr>
          <w:ilvl w:val="0"/>
          <w:numId w:val="7"/>
        </w:numPr>
        <w:spacing w:line="360" w:lineRule="auto"/>
        <w:jc w:val="both"/>
        <w:rPr>
          <w:sz w:val="24"/>
          <w:szCs w:val="24"/>
        </w:rPr>
      </w:pPr>
      <w:r w:rsidRPr="00D16260">
        <w:rPr>
          <w:sz w:val="24"/>
          <w:szCs w:val="24"/>
        </w:rPr>
        <w:t xml:space="preserve">В подсистеме </w:t>
      </w:r>
      <w:r>
        <w:rPr>
          <w:sz w:val="24"/>
          <w:szCs w:val="24"/>
        </w:rPr>
        <w:t xml:space="preserve">Осуществление закупок </w:t>
      </w:r>
      <w:r w:rsidR="00C254A5">
        <w:rPr>
          <w:sz w:val="24"/>
          <w:szCs w:val="24"/>
        </w:rPr>
        <w:t>для закупок со способом определения поставщика конкурс в электронной форме и запрос котировок в бумажной и электронной формах в</w:t>
      </w:r>
      <w:r w:rsidRPr="00EF2CEF">
        <w:rPr>
          <w:sz w:val="24"/>
          <w:szCs w:val="24"/>
        </w:rPr>
        <w:t xml:space="preserve"> карточке закупки </w:t>
      </w:r>
      <w:r w:rsidRPr="00C254A5">
        <w:rPr>
          <w:sz w:val="24"/>
          <w:szCs w:val="24"/>
          <w:u w:val="single"/>
        </w:rPr>
        <w:t>в статусе «Закупка не состоялась»</w:t>
      </w:r>
      <w:r w:rsidRPr="00EF2CEF">
        <w:rPr>
          <w:sz w:val="24"/>
          <w:szCs w:val="24"/>
        </w:rPr>
        <w:t xml:space="preserve"> кнопка «Внести изменения» (красного цвета) переименована </w:t>
      </w:r>
      <w:r w:rsidR="00C254A5">
        <w:rPr>
          <w:sz w:val="24"/>
          <w:szCs w:val="24"/>
        </w:rPr>
        <w:t xml:space="preserve">в </w:t>
      </w:r>
      <w:r w:rsidRPr="00EF2CEF">
        <w:rPr>
          <w:sz w:val="24"/>
          <w:szCs w:val="24"/>
        </w:rPr>
        <w:t>кнопку «</w:t>
      </w:r>
      <w:r w:rsidRPr="00C254A5">
        <w:rPr>
          <w:b/>
          <w:sz w:val="24"/>
          <w:szCs w:val="24"/>
        </w:rPr>
        <w:t>Продлить сроки</w:t>
      </w:r>
      <w:r w:rsidRPr="00EF2CEF">
        <w:rPr>
          <w:sz w:val="24"/>
          <w:szCs w:val="24"/>
        </w:rPr>
        <w:t>» (синего цвета)</w:t>
      </w:r>
      <w:r w:rsidR="00C254A5">
        <w:rPr>
          <w:sz w:val="24"/>
          <w:szCs w:val="24"/>
        </w:rPr>
        <w:t>. Кнопка «Продлить сроки» используется</w:t>
      </w:r>
      <w:r w:rsidRPr="00EF2CEF">
        <w:rPr>
          <w:sz w:val="24"/>
          <w:szCs w:val="24"/>
        </w:rPr>
        <w:t xml:space="preserve"> </w:t>
      </w:r>
      <w:r w:rsidR="00C254A5" w:rsidRPr="00C254A5">
        <w:rPr>
          <w:sz w:val="24"/>
          <w:szCs w:val="24"/>
          <w:u w:val="single"/>
        </w:rPr>
        <w:t xml:space="preserve">только </w:t>
      </w:r>
      <w:r w:rsidRPr="00C254A5">
        <w:rPr>
          <w:sz w:val="24"/>
          <w:szCs w:val="24"/>
          <w:u w:val="single"/>
        </w:rPr>
        <w:t xml:space="preserve">для внесения изменений в </w:t>
      </w:r>
      <w:r w:rsidR="00C254A5" w:rsidRPr="00C254A5">
        <w:rPr>
          <w:sz w:val="24"/>
          <w:szCs w:val="24"/>
          <w:u w:val="single"/>
        </w:rPr>
        <w:t xml:space="preserve">сроки проведения закупки </w:t>
      </w:r>
      <w:r w:rsidR="00C254A5">
        <w:rPr>
          <w:sz w:val="24"/>
          <w:szCs w:val="24"/>
          <w:u w:val="single"/>
        </w:rPr>
        <w:t>и</w:t>
      </w:r>
      <w:r w:rsidR="00C254A5" w:rsidRPr="00C254A5">
        <w:rPr>
          <w:sz w:val="24"/>
          <w:szCs w:val="24"/>
          <w:u w:val="single"/>
        </w:rPr>
        <w:t xml:space="preserve"> </w:t>
      </w:r>
      <w:r w:rsidRPr="00C254A5">
        <w:rPr>
          <w:sz w:val="24"/>
          <w:szCs w:val="24"/>
          <w:u w:val="single"/>
        </w:rPr>
        <w:t>публикации извещения о продлении срока подачи заявок в соответствии с требованиями 44-ФЗ</w:t>
      </w:r>
      <w:r w:rsidRPr="00EF2CEF">
        <w:rPr>
          <w:sz w:val="24"/>
          <w:szCs w:val="24"/>
        </w:rPr>
        <w:t xml:space="preserve">). </w:t>
      </w:r>
    </w:p>
    <w:p w:rsidR="00EF2CEF" w:rsidRPr="00EF2CEF" w:rsidRDefault="00EF2CEF" w:rsidP="00EF2CEF">
      <w:pPr>
        <w:pStyle w:val="a3"/>
        <w:keepNext/>
        <w:spacing w:line="360" w:lineRule="auto"/>
        <w:ind w:left="644"/>
        <w:rPr>
          <w:rFonts w:cstheme="minorHAnsi"/>
        </w:rPr>
      </w:pPr>
      <w:r>
        <w:rPr>
          <w:noProof/>
          <w:lang w:eastAsia="ru-RU"/>
        </w:rPr>
        <w:lastRenderedPageBreak/>
        <w:drawing>
          <wp:inline distT="0" distB="0" distL="0" distR="0">
            <wp:extent cx="5924550" cy="1057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1057275"/>
                    </a:xfrm>
                    <a:prstGeom prst="rect">
                      <a:avLst/>
                    </a:prstGeom>
                    <a:noFill/>
                    <a:ln>
                      <a:noFill/>
                    </a:ln>
                  </pic:spPr>
                </pic:pic>
              </a:graphicData>
            </a:graphic>
          </wp:inline>
        </w:drawing>
      </w:r>
    </w:p>
    <w:p w:rsidR="00EF2CEF" w:rsidRPr="00EF2CEF" w:rsidRDefault="00EF2CEF" w:rsidP="00C254A5">
      <w:pPr>
        <w:pStyle w:val="a3"/>
        <w:spacing w:line="360" w:lineRule="auto"/>
        <w:ind w:left="644"/>
        <w:jc w:val="both"/>
        <w:rPr>
          <w:rFonts w:cstheme="minorHAnsi"/>
          <w:sz w:val="24"/>
        </w:rPr>
      </w:pPr>
      <w:r w:rsidRPr="00EF2CEF">
        <w:rPr>
          <w:rFonts w:cstheme="minorHAnsi"/>
          <w:sz w:val="24"/>
        </w:rPr>
        <w:t>Также кнопка «</w:t>
      </w:r>
      <w:r w:rsidRPr="00EF2CEF">
        <w:rPr>
          <w:rFonts w:cstheme="minorHAnsi"/>
          <w:b/>
          <w:sz w:val="24"/>
        </w:rPr>
        <w:t>Продлить сроки</w:t>
      </w:r>
      <w:r w:rsidRPr="00EF2CEF">
        <w:rPr>
          <w:rFonts w:cstheme="minorHAnsi"/>
          <w:sz w:val="24"/>
        </w:rPr>
        <w:t xml:space="preserve">» для внесения изменений </w:t>
      </w:r>
      <w:r w:rsidR="00C254A5" w:rsidRPr="00C254A5">
        <w:rPr>
          <w:sz w:val="24"/>
          <w:szCs w:val="24"/>
        </w:rPr>
        <w:t xml:space="preserve">в сроки проведения закупки </w:t>
      </w:r>
      <w:r w:rsidRPr="00EF2CEF">
        <w:rPr>
          <w:rFonts w:cstheme="minorHAnsi"/>
          <w:sz w:val="24"/>
        </w:rPr>
        <w:t xml:space="preserve">и публикации извещения о продлении срока подачи заявок теперь доступна в карточке закупки </w:t>
      </w:r>
      <w:r w:rsidRPr="00C254A5">
        <w:rPr>
          <w:rFonts w:cstheme="minorHAnsi"/>
          <w:sz w:val="24"/>
          <w:u w:val="single"/>
        </w:rPr>
        <w:t>в статусе «Извещение опубликовано»</w:t>
      </w:r>
      <w:r w:rsidRPr="00EF2CEF">
        <w:rPr>
          <w:rFonts w:cstheme="minorHAnsi"/>
          <w:sz w:val="24"/>
        </w:rPr>
        <w:t xml:space="preserve"> </w:t>
      </w:r>
      <w:r w:rsidR="008F7C8E">
        <w:rPr>
          <w:rFonts w:cstheme="minorHAnsi"/>
          <w:sz w:val="24"/>
        </w:rPr>
        <w:t>.</w:t>
      </w:r>
    </w:p>
    <w:p w:rsidR="00EF2CEF" w:rsidRPr="00EF2CEF" w:rsidRDefault="00EF2CEF" w:rsidP="00EF2CEF">
      <w:pPr>
        <w:pStyle w:val="a3"/>
        <w:keepNext/>
        <w:spacing w:line="360" w:lineRule="auto"/>
        <w:ind w:left="644"/>
        <w:rPr>
          <w:rFonts w:cstheme="minorHAnsi"/>
        </w:rPr>
      </w:pPr>
      <w:r>
        <w:rPr>
          <w:noProof/>
          <w:lang w:eastAsia="ru-RU"/>
        </w:rPr>
        <w:drawing>
          <wp:inline distT="0" distB="0" distL="0" distR="0">
            <wp:extent cx="5940425" cy="210375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103755"/>
                    </a:xfrm>
                    <a:prstGeom prst="rect">
                      <a:avLst/>
                    </a:prstGeom>
                    <a:noFill/>
                    <a:ln>
                      <a:noFill/>
                    </a:ln>
                  </pic:spPr>
                </pic:pic>
              </a:graphicData>
            </a:graphic>
          </wp:inline>
        </w:drawing>
      </w:r>
    </w:p>
    <w:p w:rsidR="00EF2CEF" w:rsidRPr="00C254A5" w:rsidRDefault="00EF2CEF" w:rsidP="00C254A5">
      <w:pPr>
        <w:pStyle w:val="a3"/>
        <w:spacing w:line="360" w:lineRule="auto"/>
        <w:ind w:left="646"/>
        <w:contextualSpacing w:val="0"/>
        <w:jc w:val="both"/>
        <w:rPr>
          <w:rFonts w:cstheme="minorHAnsi"/>
          <w:sz w:val="24"/>
        </w:rPr>
      </w:pPr>
      <w:r w:rsidRPr="00C254A5">
        <w:rPr>
          <w:rFonts w:cstheme="minorHAnsi"/>
          <w:b/>
          <w:sz w:val="24"/>
        </w:rPr>
        <w:t>Обращаем внимание</w:t>
      </w:r>
      <w:r w:rsidR="00C254A5" w:rsidRPr="00C254A5">
        <w:rPr>
          <w:rFonts w:cstheme="minorHAnsi"/>
          <w:sz w:val="24"/>
        </w:rPr>
        <w:t xml:space="preserve">, что </w:t>
      </w:r>
      <w:r w:rsidR="00C254A5">
        <w:rPr>
          <w:rFonts w:cstheme="minorHAnsi"/>
          <w:sz w:val="24"/>
        </w:rPr>
        <w:t xml:space="preserve">для закупок </w:t>
      </w:r>
      <w:r w:rsidRPr="00C254A5">
        <w:rPr>
          <w:rFonts w:cstheme="minorHAnsi"/>
          <w:sz w:val="24"/>
        </w:rPr>
        <w:t>в статусе «Извещение опубликовано» перед формированием и отправкой на публикацию извещения о продлении срока подачи заявок, в ЕИС должен быть размещен Протокол о признании процедуры закупки несостоявшейся.</w:t>
      </w:r>
    </w:p>
    <w:p w:rsidR="00EF2CEF" w:rsidRPr="00EF2CEF" w:rsidRDefault="00C254A5" w:rsidP="00C254A5">
      <w:pPr>
        <w:pStyle w:val="a3"/>
        <w:spacing w:line="360" w:lineRule="auto"/>
        <w:ind w:left="646"/>
        <w:contextualSpacing w:val="0"/>
        <w:jc w:val="both"/>
        <w:rPr>
          <w:sz w:val="24"/>
        </w:rPr>
      </w:pPr>
      <w:r w:rsidRPr="00C254A5">
        <w:rPr>
          <w:sz w:val="24"/>
        </w:rPr>
        <w:t>П</w:t>
      </w:r>
      <w:r w:rsidR="00EF2CEF" w:rsidRPr="00EF2CEF">
        <w:rPr>
          <w:sz w:val="24"/>
        </w:rPr>
        <w:t>осле публикации извещения о продлении сроков по несостоявшимся закупкам, в карточке закупки в статусе «Извещение опубликовано» кнопки «Внести изменения» / «Отменить закупку» / «Продлить сроки» будут недоступны. Ожидается получение протоколов по результатам процедуры определения поставщика (подрядчика, исполнителя) после продления сроков приема заявок.</w:t>
      </w:r>
    </w:p>
    <w:p w:rsidR="00EF2CEF" w:rsidRDefault="00EF2CEF" w:rsidP="00C254A5">
      <w:pPr>
        <w:pStyle w:val="a3"/>
        <w:spacing w:line="360" w:lineRule="auto"/>
        <w:ind w:left="646"/>
        <w:contextualSpacing w:val="0"/>
        <w:jc w:val="both"/>
        <w:rPr>
          <w:sz w:val="24"/>
          <w:szCs w:val="24"/>
        </w:rPr>
      </w:pPr>
      <w:r>
        <w:rPr>
          <w:sz w:val="24"/>
          <w:szCs w:val="24"/>
        </w:rPr>
        <w:t xml:space="preserve">Более подробно изменения описаны в п. </w:t>
      </w:r>
      <w:r w:rsidRPr="00EF2CEF">
        <w:rPr>
          <w:sz w:val="24"/>
        </w:rPr>
        <w:t xml:space="preserve">4.4.17 </w:t>
      </w:r>
      <w:r>
        <w:rPr>
          <w:sz w:val="24"/>
          <w:szCs w:val="24"/>
        </w:rPr>
        <w:t xml:space="preserve">инструкции по подсистеме «Осуществление закупок» от 18.03.2019 г. </w:t>
      </w:r>
    </w:p>
    <w:p w:rsidR="00B86AD1" w:rsidRDefault="00B86AD1" w:rsidP="00F80CF1">
      <w:pPr>
        <w:pStyle w:val="a3"/>
        <w:numPr>
          <w:ilvl w:val="0"/>
          <w:numId w:val="7"/>
        </w:numPr>
        <w:spacing w:line="360" w:lineRule="auto"/>
        <w:contextualSpacing w:val="0"/>
        <w:jc w:val="both"/>
        <w:rPr>
          <w:sz w:val="24"/>
          <w:szCs w:val="24"/>
        </w:rPr>
      </w:pPr>
      <w:r>
        <w:rPr>
          <w:sz w:val="24"/>
          <w:szCs w:val="24"/>
        </w:rPr>
        <w:t>Реализован новый раздел АРМ Руководителя, предназначенный для отображения итоговых показателей закупочной деятельности организации. Раздел доступен пользователям с ролью «Руководитель ГЗ».</w:t>
      </w:r>
    </w:p>
    <w:p w:rsidR="00E7734C" w:rsidRDefault="00E7734C" w:rsidP="00E7734C">
      <w:pPr>
        <w:pStyle w:val="a3"/>
        <w:spacing w:line="360" w:lineRule="auto"/>
        <w:ind w:left="644"/>
        <w:contextualSpacing w:val="0"/>
        <w:jc w:val="center"/>
        <w:rPr>
          <w:sz w:val="24"/>
          <w:szCs w:val="24"/>
        </w:rPr>
      </w:pPr>
      <w:r>
        <w:rPr>
          <w:noProof/>
          <w:sz w:val="24"/>
          <w:szCs w:val="24"/>
          <w:lang w:eastAsia="ru-RU"/>
        </w:rPr>
        <w:lastRenderedPageBreak/>
        <w:drawing>
          <wp:inline distT="0" distB="0" distL="0" distR="0">
            <wp:extent cx="2400300" cy="225028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034" cy="2251906"/>
                    </a:xfrm>
                    <a:prstGeom prst="rect">
                      <a:avLst/>
                    </a:prstGeom>
                    <a:noFill/>
                    <a:ln>
                      <a:noFill/>
                    </a:ln>
                  </pic:spPr>
                </pic:pic>
              </a:graphicData>
            </a:graphic>
          </wp:inline>
        </w:drawing>
      </w:r>
    </w:p>
    <w:p w:rsidR="00E7734C" w:rsidRDefault="00E7734C" w:rsidP="00E7734C">
      <w:pPr>
        <w:pStyle w:val="a3"/>
        <w:spacing w:line="360" w:lineRule="auto"/>
        <w:ind w:left="644"/>
        <w:contextualSpacing w:val="0"/>
        <w:jc w:val="center"/>
        <w:rPr>
          <w:sz w:val="24"/>
          <w:szCs w:val="24"/>
        </w:rPr>
      </w:pPr>
      <w:r>
        <w:rPr>
          <w:noProof/>
          <w:sz w:val="24"/>
          <w:szCs w:val="24"/>
          <w:lang w:eastAsia="ru-RU"/>
        </w:rPr>
        <w:drawing>
          <wp:inline distT="0" distB="0" distL="0" distR="0">
            <wp:extent cx="5934075" cy="2990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2990850"/>
                    </a:xfrm>
                    <a:prstGeom prst="rect">
                      <a:avLst/>
                    </a:prstGeom>
                    <a:noFill/>
                    <a:ln>
                      <a:noFill/>
                    </a:ln>
                  </pic:spPr>
                </pic:pic>
              </a:graphicData>
            </a:graphic>
          </wp:inline>
        </w:drawing>
      </w:r>
    </w:p>
    <w:p w:rsidR="00B86AD1" w:rsidRDefault="00B86AD1" w:rsidP="00B86AD1">
      <w:pPr>
        <w:pStyle w:val="a3"/>
        <w:spacing w:line="360" w:lineRule="auto"/>
        <w:ind w:left="644"/>
        <w:contextualSpacing w:val="0"/>
        <w:jc w:val="both"/>
        <w:rPr>
          <w:sz w:val="24"/>
          <w:szCs w:val="24"/>
        </w:rPr>
      </w:pPr>
      <w:r>
        <w:rPr>
          <w:sz w:val="24"/>
          <w:szCs w:val="24"/>
        </w:rPr>
        <w:t xml:space="preserve">Более подробно работа с разделом описана в инструкции </w:t>
      </w:r>
      <w:r w:rsidR="00E7734C">
        <w:rPr>
          <w:sz w:val="24"/>
          <w:szCs w:val="24"/>
        </w:rPr>
        <w:t xml:space="preserve">по работе с АРМ Руководителя от 18.03.2019 г. </w:t>
      </w:r>
      <w:r>
        <w:rPr>
          <w:sz w:val="24"/>
          <w:szCs w:val="24"/>
        </w:rPr>
        <w:t xml:space="preserve">  </w:t>
      </w:r>
    </w:p>
    <w:p w:rsidR="00C254A5" w:rsidRDefault="00C254A5" w:rsidP="00F80CF1">
      <w:pPr>
        <w:pStyle w:val="a3"/>
        <w:numPr>
          <w:ilvl w:val="0"/>
          <w:numId w:val="7"/>
        </w:numPr>
        <w:spacing w:line="360" w:lineRule="auto"/>
        <w:contextualSpacing w:val="0"/>
        <w:jc w:val="both"/>
        <w:rPr>
          <w:sz w:val="24"/>
          <w:szCs w:val="24"/>
        </w:rPr>
      </w:pPr>
      <w:r>
        <w:rPr>
          <w:sz w:val="24"/>
          <w:szCs w:val="24"/>
        </w:rPr>
        <w:t xml:space="preserve">В подсистеме Планирование в карточке детализированного объекта закупок добавлена возможность сортировки и фильтрации в блоке «Источники финансирования» для удобства поиска нужного источника. </w:t>
      </w:r>
    </w:p>
    <w:p w:rsidR="00C254A5" w:rsidRDefault="00C254A5" w:rsidP="00C254A5">
      <w:pPr>
        <w:pStyle w:val="a3"/>
        <w:spacing w:line="360" w:lineRule="auto"/>
        <w:ind w:left="644"/>
        <w:contextualSpacing w:val="0"/>
        <w:jc w:val="both"/>
        <w:rPr>
          <w:sz w:val="24"/>
          <w:szCs w:val="24"/>
        </w:rPr>
      </w:pPr>
      <w:r>
        <w:rPr>
          <w:noProof/>
          <w:sz w:val="24"/>
          <w:szCs w:val="24"/>
          <w:lang w:eastAsia="ru-RU"/>
        </w:rPr>
        <w:drawing>
          <wp:inline distT="0" distB="0" distL="0" distR="0">
            <wp:extent cx="5934075" cy="14097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rsidR="00C254A5" w:rsidRDefault="00C254A5" w:rsidP="002D499B">
      <w:pPr>
        <w:pStyle w:val="a3"/>
        <w:numPr>
          <w:ilvl w:val="0"/>
          <w:numId w:val="7"/>
        </w:numPr>
        <w:spacing w:line="360" w:lineRule="auto"/>
        <w:contextualSpacing w:val="0"/>
        <w:jc w:val="both"/>
        <w:rPr>
          <w:sz w:val="24"/>
          <w:szCs w:val="24"/>
        </w:rPr>
      </w:pPr>
      <w:r>
        <w:rPr>
          <w:sz w:val="24"/>
          <w:szCs w:val="24"/>
        </w:rPr>
        <w:lastRenderedPageBreak/>
        <w:t xml:space="preserve">Для государственных унитарных предприятий исключена необходимость согласования планов закупок, планов-графиков и закупок с ГРБС. </w:t>
      </w:r>
    </w:p>
    <w:p w:rsidR="008F7C8E" w:rsidRDefault="008F7C8E" w:rsidP="008F7C8E">
      <w:pPr>
        <w:pStyle w:val="a3"/>
        <w:numPr>
          <w:ilvl w:val="0"/>
          <w:numId w:val="7"/>
        </w:numPr>
        <w:spacing w:line="360" w:lineRule="auto"/>
        <w:contextualSpacing w:val="0"/>
        <w:jc w:val="both"/>
        <w:rPr>
          <w:sz w:val="24"/>
          <w:szCs w:val="24"/>
        </w:rPr>
      </w:pPr>
      <w:r>
        <w:rPr>
          <w:sz w:val="24"/>
          <w:szCs w:val="24"/>
        </w:rPr>
        <w:t xml:space="preserve">В подсистеме НСИ в справочниках КПГЗ и СПГЗ реализовано отображение и возможность скачивания шаблонов типовых технических заданий и проектов контрактов в формате </w:t>
      </w:r>
      <w:r>
        <w:rPr>
          <w:sz w:val="24"/>
          <w:szCs w:val="24"/>
          <w:lang w:val="en-US"/>
        </w:rPr>
        <w:t>Word</w:t>
      </w:r>
      <w:r w:rsidRPr="008F7C8E">
        <w:rPr>
          <w:sz w:val="24"/>
          <w:szCs w:val="24"/>
        </w:rPr>
        <w:t xml:space="preserve">. </w:t>
      </w:r>
      <w:r>
        <w:rPr>
          <w:sz w:val="24"/>
          <w:szCs w:val="24"/>
        </w:rPr>
        <w:t>Документы отображаются в блоке «У</w:t>
      </w:r>
      <w:r w:rsidRPr="008F7C8E">
        <w:rPr>
          <w:sz w:val="24"/>
          <w:szCs w:val="24"/>
        </w:rPr>
        <w:t>твержденные шаблоны типовой документации»</w:t>
      </w:r>
      <w:r>
        <w:rPr>
          <w:sz w:val="24"/>
          <w:szCs w:val="24"/>
        </w:rPr>
        <w:t>.</w:t>
      </w:r>
    </w:p>
    <w:p w:rsidR="008F7C8E" w:rsidRDefault="008F7C8E" w:rsidP="008F7C8E">
      <w:pPr>
        <w:pStyle w:val="a3"/>
        <w:spacing w:line="360" w:lineRule="auto"/>
        <w:ind w:left="644"/>
        <w:contextualSpacing w:val="0"/>
        <w:jc w:val="both"/>
        <w:rPr>
          <w:sz w:val="24"/>
          <w:szCs w:val="24"/>
        </w:rPr>
      </w:pPr>
      <w:r>
        <w:rPr>
          <w:noProof/>
          <w:sz w:val="24"/>
          <w:szCs w:val="24"/>
          <w:lang w:eastAsia="ru-RU"/>
        </w:rPr>
        <w:drawing>
          <wp:inline distT="0" distB="0" distL="0" distR="0">
            <wp:extent cx="5934075" cy="876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876300"/>
                    </a:xfrm>
                    <a:prstGeom prst="rect">
                      <a:avLst/>
                    </a:prstGeom>
                    <a:noFill/>
                    <a:ln>
                      <a:noFill/>
                    </a:ln>
                  </pic:spPr>
                </pic:pic>
              </a:graphicData>
            </a:graphic>
          </wp:inline>
        </w:drawing>
      </w:r>
    </w:p>
    <w:p w:rsidR="00006790" w:rsidRDefault="00006790" w:rsidP="00F80CF1">
      <w:pPr>
        <w:pStyle w:val="a3"/>
        <w:numPr>
          <w:ilvl w:val="0"/>
          <w:numId w:val="7"/>
        </w:numPr>
        <w:spacing w:line="360" w:lineRule="auto"/>
        <w:contextualSpacing w:val="0"/>
        <w:jc w:val="both"/>
        <w:rPr>
          <w:sz w:val="24"/>
          <w:szCs w:val="24"/>
        </w:rPr>
      </w:pPr>
      <w:r>
        <w:rPr>
          <w:sz w:val="24"/>
          <w:szCs w:val="24"/>
        </w:rPr>
        <w:t xml:space="preserve">В подсистеме Библиотека типовой документации реализована возможность прикрепления файлов </w:t>
      </w:r>
      <w:r w:rsidR="008F7C8E">
        <w:rPr>
          <w:sz w:val="24"/>
          <w:szCs w:val="24"/>
        </w:rPr>
        <w:t xml:space="preserve">документов </w:t>
      </w:r>
      <w:r>
        <w:rPr>
          <w:sz w:val="24"/>
          <w:szCs w:val="24"/>
        </w:rPr>
        <w:t xml:space="preserve">к шаблонам технических заданий и проектов контрактов. </w:t>
      </w:r>
    </w:p>
    <w:p w:rsidR="008F7C8E" w:rsidRPr="002D499B" w:rsidRDefault="008F7C8E" w:rsidP="008F7C8E">
      <w:pPr>
        <w:pStyle w:val="a3"/>
        <w:numPr>
          <w:ilvl w:val="0"/>
          <w:numId w:val="7"/>
        </w:numPr>
        <w:spacing w:line="360" w:lineRule="auto"/>
        <w:contextualSpacing w:val="0"/>
        <w:jc w:val="both"/>
        <w:rPr>
          <w:sz w:val="24"/>
          <w:szCs w:val="24"/>
        </w:rPr>
      </w:pPr>
      <w:r>
        <w:rPr>
          <w:sz w:val="24"/>
          <w:szCs w:val="24"/>
        </w:rPr>
        <w:t xml:space="preserve">Обновлен перечень СПГЗ, для которых возможно формирование малых контрактов без </w:t>
      </w:r>
      <w:r w:rsidRPr="002D499B">
        <w:rPr>
          <w:sz w:val="24"/>
          <w:szCs w:val="24"/>
        </w:rPr>
        <w:t xml:space="preserve">использования АИС «Портал поставщиков». </w:t>
      </w:r>
    </w:p>
    <w:p w:rsidR="00675DF9" w:rsidRDefault="00675DF9" w:rsidP="00F80CF1">
      <w:pPr>
        <w:pStyle w:val="a3"/>
        <w:numPr>
          <w:ilvl w:val="0"/>
          <w:numId w:val="7"/>
        </w:numPr>
        <w:spacing w:line="360" w:lineRule="auto"/>
        <w:contextualSpacing w:val="0"/>
        <w:jc w:val="both"/>
        <w:rPr>
          <w:sz w:val="24"/>
          <w:szCs w:val="24"/>
        </w:rPr>
      </w:pPr>
      <w:r>
        <w:rPr>
          <w:sz w:val="24"/>
          <w:szCs w:val="24"/>
        </w:rPr>
        <w:t>При отправке извещения о закупке в ЕИС реализована передача в поле «Дополнительная информация» информации о</w:t>
      </w:r>
      <w:r w:rsidRPr="00675DF9">
        <w:rPr>
          <w:sz w:val="24"/>
          <w:szCs w:val="24"/>
        </w:rPr>
        <w:t xml:space="preserve"> </w:t>
      </w:r>
      <w:r>
        <w:rPr>
          <w:sz w:val="24"/>
          <w:szCs w:val="24"/>
        </w:rPr>
        <w:t>включении в</w:t>
      </w:r>
      <w:r w:rsidRPr="00675DF9">
        <w:rPr>
          <w:sz w:val="24"/>
          <w:szCs w:val="24"/>
        </w:rPr>
        <w:t xml:space="preserve"> банковскую гарантию услови</w:t>
      </w:r>
      <w:r>
        <w:rPr>
          <w:sz w:val="24"/>
          <w:szCs w:val="24"/>
        </w:rPr>
        <w:t>я</w:t>
      </w:r>
      <w:r w:rsidRPr="00675DF9">
        <w:rPr>
          <w:sz w:val="24"/>
          <w:szCs w:val="24"/>
        </w:rPr>
        <w:t xml:space="preserve">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sz w:val="24"/>
          <w:szCs w:val="24"/>
        </w:rPr>
        <w:t xml:space="preserve">. Информация передается, если в лоте в блоке «Обеспечение контракта» установлено соответствующее условие. </w:t>
      </w:r>
    </w:p>
    <w:p w:rsidR="00006790" w:rsidRDefault="007F02B7" w:rsidP="00F80CF1">
      <w:pPr>
        <w:pStyle w:val="a3"/>
        <w:numPr>
          <w:ilvl w:val="0"/>
          <w:numId w:val="7"/>
        </w:numPr>
        <w:spacing w:line="360" w:lineRule="auto"/>
        <w:contextualSpacing w:val="0"/>
        <w:jc w:val="both"/>
        <w:rPr>
          <w:sz w:val="24"/>
          <w:szCs w:val="24"/>
        </w:rPr>
      </w:pPr>
      <w:r w:rsidRPr="007F02B7">
        <w:rPr>
          <w:sz w:val="24"/>
          <w:szCs w:val="24"/>
        </w:rPr>
        <w:t xml:space="preserve">В АРМ Минзакупок </w:t>
      </w:r>
      <w:r w:rsidR="00006790">
        <w:rPr>
          <w:sz w:val="24"/>
          <w:szCs w:val="24"/>
        </w:rPr>
        <w:t>в список планов закупок добавлено поле «Публично-правовое образование»</w:t>
      </w:r>
      <w:r w:rsidRPr="007F02B7">
        <w:rPr>
          <w:sz w:val="24"/>
          <w:szCs w:val="24"/>
        </w:rPr>
        <w:t>.</w:t>
      </w:r>
    </w:p>
    <w:p w:rsidR="00006790" w:rsidRPr="00E7734C" w:rsidRDefault="007F02B7" w:rsidP="00006790">
      <w:pPr>
        <w:pStyle w:val="a3"/>
        <w:numPr>
          <w:ilvl w:val="0"/>
          <w:numId w:val="7"/>
        </w:numPr>
        <w:spacing w:line="360" w:lineRule="auto"/>
        <w:contextualSpacing w:val="0"/>
        <w:jc w:val="both"/>
        <w:rPr>
          <w:sz w:val="24"/>
          <w:szCs w:val="24"/>
        </w:rPr>
      </w:pPr>
      <w:r w:rsidRPr="007F02B7">
        <w:rPr>
          <w:sz w:val="24"/>
          <w:szCs w:val="24"/>
        </w:rPr>
        <w:t xml:space="preserve"> </w:t>
      </w:r>
      <w:r w:rsidR="00006790" w:rsidRPr="007F02B7">
        <w:rPr>
          <w:sz w:val="24"/>
          <w:szCs w:val="24"/>
        </w:rPr>
        <w:t xml:space="preserve">В АРМ Минзакупок </w:t>
      </w:r>
      <w:r w:rsidR="00006790">
        <w:rPr>
          <w:sz w:val="24"/>
          <w:szCs w:val="24"/>
        </w:rPr>
        <w:t>в список планов-графиков добавлены поля «Публично-правовое образование», «</w:t>
      </w:r>
      <w:r w:rsidR="00006790" w:rsidRPr="00006790">
        <w:rPr>
          <w:rFonts w:cs="Segoe UI"/>
          <w:bCs/>
          <w:sz w:val="24"/>
          <w:szCs w:val="24"/>
          <w:shd w:val="clear" w:color="auto" w:fill="FFFFFF"/>
        </w:rPr>
        <w:t>Доступный лимит на период, руб</w:t>
      </w:r>
      <w:r w:rsidR="00006790" w:rsidRPr="00006790">
        <w:rPr>
          <w:rFonts w:cs="Segoe UI"/>
          <w:sz w:val="24"/>
          <w:szCs w:val="24"/>
          <w:shd w:val="clear" w:color="auto" w:fill="FFFFFF"/>
        </w:rPr>
        <w:t>.</w:t>
      </w:r>
      <w:r w:rsidR="00006790">
        <w:rPr>
          <w:rFonts w:cs="Segoe UI"/>
          <w:sz w:val="24"/>
          <w:szCs w:val="24"/>
          <w:shd w:val="clear" w:color="auto" w:fill="FFFFFF"/>
        </w:rPr>
        <w:t>»</w:t>
      </w:r>
      <w:r w:rsidR="00006790" w:rsidRPr="00006790">
        <w:rPr>
          <w:rFonts w:cs="Segoe UI"/>
          <w:sz w:val="24"/>
          <w:szCs w:val="24"/>
          <w:shd w:val="clear" w:color="auto" w:fill="FFFFFF"/>
        </w:rPr>
        <w:t xml:space="preserve">, </w:t>
      </w:r>
      <w:r w:rsidR="00006790">
        <w:rPr>
          <w:rFonts w:cs="Segoe UI"/>
          <w:sz w:val="24"/>
          <w:szCs w:val="24"/>
          <w:shd w:val="clear" w:color="auto" w:fill="FFFFFF"/>
        </w:rPr>
        <w:t>«</w:t>
      </w:r>
      <w:r w:rsidR="00006790" w:rsidRPr="00006790">
        <w:rPr>
          <w:rFonts w:cs="Segoe UI"/>
          <w:bCs/>
          <w:sz w:val="24"/>
          <w:szCs w:val="24"/>
          <w:shd w:val="clear" w:color="auto" w:fill="FFFFFF"/>
        </w:rPr>
        <w:t>Сумма платежей, руб.</w:t>
      </w:r>
      <w:r w:rsidR="00006790">
        <w:rPr>
          <w:rFonts w:cs="Segoe UI"/>
          <w:bCs/>
          <w:sz w:val="24"/>
          <w:szCs w:val="24"/>
          <w:shd w:val="clear" w:color="auto" w:fill="FFFFFF"/>
        </w:rPr>
        <w:t>»</w:t>
      </w:r>
      <w:r w:rsidR="00006790" w:rsidRPr="00006790">
        <w:rPr>
          <w:sz w:val="24"/>
          <w:szCs w:val="24"/>
        </w:rPr>
        <w:t>.</w:t>
      </w:r>
      <w:r w:rsidR="00006790">
        <w:rPr>
          <w:sz w:val="24"/>
          <w:szCs w:val="24"/>
        </w:rPr>
        <w:t xml:space="preserve"> Реализована возможность экспорта данных списка в </w:t>
      </w:r>
      <w:r w:rsidR="00006790">
        <w:rPr>
          <w:sz w:val="24"/>
          <w:szCs w:val="24"/>
          <w:lang w:val="en-US"/>
        </w:rPr>
        <w:t>Excel.</w:t>
      </w:r>
    </w:p>
    <w:p w:rsidR="001A7AEA" w:rsidRDefault="001A7AEA" w:rsidP="001A7AEA">
      <w:pPr>
        <w:pStyle w:val="a3"/>
        <w:spacing w:line="360" w:lineRule="auto"/>
        <w:ind w:left="644"/>
        <w:contextualSpacing w:val="0"/>
        <w:jc w:val="both"/>
        <w:rPr>
          <w:sz w:val="24"/>
          <w:szCs w:val="24"/>
        </w:rPr>
      </w:pPr>
    </w:p>
    <w:sectPr w:rsidR="001A7AE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B4" w:rsidRDefault="003315B4" w:rsidP="002D499B">
      <w:pPr>
        <w:spacing w:after="0" w:line="240" w:lineRule="auto"/>
      </w:pPr>
      <w:r>
        <w:separator/>
      </w:r>
    </w:p>
  </w:endnote>
  <w:endnote w:type="continuationSeparator" w:id="0">
    <w:p w:rsidR="003315B4" w:rsidRDefault="003315B4"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docPartObj>
        <w:docPartGallery w:val="Page Numbers (Bottom of Page)"/>
        <w:docPartUnique/>
      </w:docPartObj>
    </w:sdtPr>
    <w:sdtEndPr/>
    <w:sdtContent>
      <w:p w:rsidR="002D499B" w:rsidRDefault="002D499B">
        <w:pPr>
          <w:pStyle w:val="af"/>
          <w:jc w:val="right"/>
        </w:pPr>
        <w:r>
          <w:fldChar w:fldCharType="begin"/>
        </w:r>
        <w:r>
          <w:instrText>PAGE   \* MERGEFORMAT</w:instrText>
        </w:r>
        <w:r>
          <w:fldChar w:fldCharType="separate"/>
        </w:r>
        <w:r w:rsidR="0059007E">
          <w:rPr>
            <w:noProof/>
          </w:rPr>
          <w:t>1</w:t>
        </w:r>
        <w:r>
          <w:fldChar w:fldCharType="end"/>
        </w:r>
      </w:p>
    </w:sdtContent>
  </w:sdt>
  <w:p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B4" w:rsidRDefault="003315B4" w:rsidP="002D499B">
      <w:pPr>
        <w:spacing w:after="0" w:line="240" w:lineRule="auto"/>
      </w:pPr>
      <w:r>
        <w:separator/>
      </w:r>
    </w:p>
  </w:footnote>
  <w:footnote w:type="continuationSeparator" w:id="0">
    <w:p w:rsidR="003315B4" w:rsidRDefault="003315B4"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FF1"/>
    <w:multiLevelType w:val="hybridMultilevel"/>
    <w:tmpl w:val="BEEE354A"/>
    <w:lvl w:ilvl="0" w:tplc="B81CB5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E336B6"/>
    <w:multiLevelType w:val="hybridMultilevel"/>
    <w:tmpl w:val="2AC647D8"/>
    <w:lvl w:ilvl="0" w:tplc="A54E3400">
      <w:start w:val="1"/>
      <w:numFmt w:val="decimal"/>
      <w:lvlText w:val="%1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722D0"/>
    <w:multiLevelType w:val="hybridMultilevel"/>
    <w:tmpl w:val="8DD8301C"/>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
    <w:nsid w:val="178D2711"/>
    <w:multiLevelType w:val="hybridMultilevel"/>
    <w:tmpl w:val="ED86F5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C79744F"/>
    <w:multiLevelType w:val="hybridMultilevel"/>
    <w:tmpl w:val="2AC647D8"/>
    <w:lvl w:ilvl="0" w:tplc="A54E3400">
      <w:start w:val="1"/>
      <w:numFmt w:val="decimal"/>
      <w:lvlText w:val="%1 "/>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123F8"/>
    <w:multiLevelType w:val="hybridMultilevel"/>
    <w:tmpl w:val="1B8645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1EF2577B"/>
    <w:multiLevelType w:val="hybridMultilevel"/>
    <w:tmpl w:val="72A49A94"/>
    <w:lvl w:ilvl="0" w:tplc="CDACE42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CF14A70"/>
    <w:multiLevelType w:val="hybridMultilevel"/>
    <w:tmpl w:val="ECFE572C"/>
    <w:lvl w:ilvl="0" w:tplc="E0386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63E26E3"/>
    <w:multiLevelType w:val="hybridMultilevel"/>
    <w:tmpl w:val="2B748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617874"/>
    <w:multiLevelType w:val="hybridMultilevel"/>
    <w:tmpl w:val="4D1A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C02649"/>
    <w:multiLevelType w:val="hybridMultilevel"/>
    <w:tmpl w:val="1562BC04"/>
    <w:lvl w:ilvl="0" w:tplc="17324CE0">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53B34529"/>
    <w:multiLevelType w:val="hybridMultilevel"/>
    <w:tmpl w:val="F008F556"/>
    <w:lvl w:ilvl="0" w:tplc="E0386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C72422A"/>
    <w:multiLevelType w:val="hybridMultilevel"/>
    <w:tmpl w:val="54F0006E"/>
    <w:lvl w:ilvl="0" w:tplc="E16A592E">
      <w:start w:val="1"/>
      <w:numFmt w:val="decimal"/>
      <w:lvlText w:val="%1 "/>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EF19E1"/>
    <w:multiLevelType w:val="hybridMultilevel"/>
    <w:tmpl w:val="7E10C08E"/>
    <w:lvl w:ilvl="0" w:tplc="B0A4EEF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4F658E6"/>
    <w:multiLevelType w:val="hybridMultilevel"/>
    <w:tmpl w:val="5172F5B8"/>
    <w:lvl w:ilvl="0" w:tplc="04190001">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7B011B8C"/>
    <w:multiLevelType w:val="hybridMultilevel"/>
    <w:tmpl w:val="1B700460"/>
    <w:lvl w:ilvl="0" w:tplc="E03867B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12"/>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9"/>
  </w:num>
  <w:num w:numId="12">
    <w:abstractNumId w:val="11"/>
  </w:num>
  <w:num w:numId="13">
    <w:abstractNumId w:val="1"/>
  </w:num>
  <w:num w:numId="14">
    <w:abstractNumId w:val="7"/>
  </w:num>
  <w:num w:numId="15">
    <w:abstractNumId w:val="3"/>
  </w:num>
  <w:num w:numId="16">
    <w:abstractNumId w:val="1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6790"/>
    <w:rsid w:val="00016F54"/>
    <w:rsid w:val="00024271"/>
    <w:rsid w:val="000535B4"/>
    <w:rsid w:val="00060BC6"/>
    <w:rsid w:val="000758DD"/>
    <w:rsid w:val="00097EB8"/>
    <w:rsid w:val="000A7C73"/>
    <w:rsid w:val="000B2EE9"/>
    <w:rsid w:val="000C44AA"/>
    <w:rsid w:val="000C5614"/>
    <w:rsid w:val="000D6E16"/>
    <w:rsid w:val="00101E96"/>
    <w:rsid w:val="00110A6C"/>
    <w:rsid w:val="00131F07"/>
    <w:rsid w:val="00163F6D"/>
    <w:rsid w:val="0017429C"/>
    <w:rsid w:val="00185886"/>
    <w:rsid w:val="00194B75"/>
    <w:rsid w:val="001954E2"/>
    <w:rsid w:val="001A6A0F"/>
    <w:rsid w:val="001A7AEA"/>
    <w:rsid w:val="001C6222"/>
    <w:rsid w:val="001E5194"/>
    <w:rsid w:val="001F1B01"/>
    <w:rsid w:val="00200048"/>
    <w:rsid w:val="002050DB"/>
    <w:rsid w:val="00230FA9"/>
    <w:rsid w:val="0023709D"/>
    <w:rsid w:val="00245148"/>
    <w:rsid w:val="00264C4E"/>
    <w:rsid w:val="002A2FD4"/>
    <w:rsid w:val="002A2FF7"/>
    <w:rsid w:val="002A342B"/>
    <w:rsid w:val="002B4A54"/>
    <w:rsid w:val="002C1013"/>
    <w:rsid w:val="002C7DB4"/>
    <w:rsid w:val="002D1489"/>
    <w:rsid w:val="002D315A"/>
    <w:rsid w:val="002D499B"/>
    <w:rsid w:val="003315B4"/>
    <w:rsid w:val="00363280"/>
    <w:rsid w:val="00395BC7"/>
    <w:rsid w:val="00401CAD"/>
    <w:rsid w:val="004160C5"/>
    <w:rsid w:val="00445186"/>
    <w:rsid w:val="004475B5"/>
    <w:rsid w:val="00460CB3"/>
    <w:rsid w:val="004701D6"/>
    <w:rsid w:val="0048363D"/>
    <w:rsid w:val="004C0F2A"/>
    <w:rsid w:val="004C6925"/>
    <w:rsid w:val="004D72CB"/>
    <w:rsid w:val="004D746E"/>
    <w:rsid w:val="00501678"/>
    <w:rsid w:val="00507511"/>
    <w:rsid w:val="00542113"/>
    <w:rsid w:val="00567ECA"/>
    <w:rsid w:val="0057306F"/>
    <w:rsid w:val="00573CFE"/>
    <w:rsid w:val="0058106D"/>
    <w:rsid w:val="0059007E"/>
    <w:rsid w:val="0059209F"/>
    <w:rsid w:val="005F6B04"/>
    <w:rsid w:val="00604D3D"/>
    <w:rsid w:val="00605B17"/>
    <w:rsid w:val="0061270D"/>
    <w:rsid w:val="0061426C"/>
    <w:rsid w:val="00622133"/>
    <w:rsid w:val="00625904"/>
    <w:rsid w:val="00631D1B"/>
    <w:rsid w:val="00645524"/>
    <w:rsid w:val="00651DD1"/>
    <w:rsid w:val="00665F1E"/>
    <w:rsid w:val="0067429E"/>
    <w:rsid w:val="00675DF9"/>
    <w:rsid w:val="00682B8D"/>
    <w:rsid w:val="006A0744"/>
    <w:rsid w:val="006A2E9E"/>
    <w:rsid w:val="006C5726"/>
    <w:rsid w:val="006E2C0F"/>
    <w:rsid w:val="0070374C"/>
    <w:rsid w:val="00712F52"/>
    <w:rsid w:val="007526EE"/>
    <w:rsid w:val="00763450"/>
    <w:rsid w:val="00776A19"/>
    <w:rsid w:val="00796148"/>
    <w:rsid w:val="0079614C"/>
    <w:rsid w:val="007B66D4"/>
    <w:rsid w:val="007E23C6"/>
    <w:rsid w:val="007E3E8E"/>
    <w:rsid w:val="007F02B7"/>
    <w:rsid w:val="00815495"/>
    <w:rsid w:val="00876EE9"/>
    <w:rsid w:val="008912B0"/>
    <w:rsid w:val="008A455A"/>
    <w:rsid w:val="008C252B"/>
    <w:rsid w:val="008D5378"/>
    <w:rsid w:val="008E0504"/>
    <w:rsid w:val="008E512C"/>
    <w:rsid w:val="008F7C8E"/>
    <w:rsid w:val="00904C67"/>
    <w:rsid w:val="00952093"/>
    <w:rsid w:val="00971BD1"/>
    <w:rsid w:val="009A2399"/>
    <w:rsid w:val="009D54CA"/>
    <w:rsid w:val="009F5782"/>
    <w:rsid w:val="00A9518A"/>
    <w:rsid w:val="00AA2DE5"/>
    <w:rsid w:val="00AD33C0"/>
    <w:rsid w:val="00AE289B"/>
    <w:rsid w:val="00AF01BA"/>
    <w:rsid w:val="00B220D3"/>
    <w:rsid w:val="00B277A0"/>
    <w:rsid w:val="00B4743D"/>
    <w:rsid w:val="00B51FF5"/>
    <w:rsid w:val="00B61CC0"/>
    <w:rsid w:val="00B7086D"/>
    <w:rsid w:val="00B71745"/>
    <w:rsid w:val="00B7495E"/>
    <w:rsid w:val="00B86AD1"/>
    <w:rsid w:val="00BB207F"/>
    <w:rsid w:val="00C166BD"/>
    <w:rsid w:val="00C254A5"/>
    <w:rsid w:val="00C40F25"/>
    <w:rsid w:val="00C53FD1"/>
    <w:rsid w:val="00C53FEE"/>
    <w:rsid w:val="00C7302D"/>
    <w:rsid w:val="00C9687C"/>
    <w:rsid w:val="00CA1BBC"/>
    <w:rsid w:val="00CC4D8A"/>
    <w:rsid w:val="00CD052E"/>
    <w:rsid w:val="00D16260"/>
    <w:rsid w:val="00D25218"/>
    <w:rsid w:val="00D534F5"/>
    <w:rsid w:val="00DE286F"/>
    <w:rsid w:val="00DE6C7D"/>
    <w:rsid w:val="00DF597B"/>
    <w:rsid w:val="00E06215"/>
    <w:rsid w:val="00E24461"/>
    <w:rsid w:val="00E70AC5"/>
    <w:rsid w:val="00E74801"/>
    <w:rsid w:val="00E7734C"/>
    <w:rsid w:val="00EB32AF"/>
    <w:rsid w:val="00ED3DF5"/>
    <w:rsid w:val="00EF2CEF"/>
    <w:rsid w:val="00F06732"/>
    <w:rsid w:val="00F07835"/>
    <w:rsid w:val="00F107F4"/>
    <w:rsid w:val="00F16E4E"/>
    <w:rsid w:val="00F17555"/>
    <w:rsid w:val="00F74905"/>
    <w:rsid w:val="00F80CF1"/>
    <w:rsid w:val="00F92EDD"/>
    <w:rsid w:val="00F938B1"/>
    <w:rsid w:val="00FA2521"/>
    <w:rsid w:val="00FA277E"/>
    <w:rsid w:val="00FD5667"/>
    <w:rsid w:val="00FE606B"/>
    <w:rsid w:val="00FF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87869-A092-48C9-9EE6-A092586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semiHidden/>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Наталья Вячеславовна</dc:creator>
  <cp:lastModifiedBy>Оглуздина Наталья Владимировна</cp:lastModifiedBy>
  <cp:revision>2</cp:revision>
  <dcterms:created xsi:type="dcterms:W3CDTF">2019-03-19T06:41:00Z</dcterms:created>
  <dcterms:modified xsi:type="dcterms:W3CDTF">2019-03-19T06:41:00Z</dcterms:modified>
</cp:coreProperties>
</file>